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23E83" w14:textId="77777777" w:rsidR="00F063B8" w:rsidRDefault="00F063B8" w:rsidP="00F063B8"/>
    <w:p w14:paraId="7D14F4D6" w14:textId="77777777" w:rsidR="00F063B8" w:rsidRDefault="00F063B8" w:rsidP="00F063B8"/>
    <w:tbl>
      <w:tblPr>
        <w:tblStyle w:val="Tabellrutnt"/>
        <w:tblW w:w="9072" w:type="dxa"/>
        <w:tblLayout w:type="fixed"/>
        <w:tblLook w:val="0600" w:firstRow="0" w:lastRow="0" w:firstColumn="0" w:lastColumn="0" w:noHBand="1" w:noVBand="1"/>
      </w:tblPr>
      <w:tblGrid>
        <w:gridCol w:w="9072"/>
      </w:tblGrid>
      <w:tr w:rsidR="00F063B8" w14:paraId="5C4F506C" w14:textId="77777777" w:rsidTr="006E6721">
        <w:trPr>
          <w:trHeight w:val="384"/>
        </w:trPr>
        <w:tc>
          <w:tcPr>
            <w:tcW w:w="9072" w:type="dxa"/>
          </w:tcPr>
          <w:p w14:paraId="739618F0" w14:textId="77777777" w:rsidR="006F3132" w:rsidRDefault="00F063B8" w:rsidP="001007FE">
            <w:pPr>
              <w:pStyle w:val="Titredudocument"/>
            </w:pPr>
            <w:bookmarkStart w:id="0" w:name="_Hlk6265129"/>
            <w:r>
              <w:t>press RELEASE</w:t>
            </w:r>
            <w:r w:rsidR="001007FE">
              <w:tab/>
            </w:r>
            <w:r w:rsidR="001007FE">
              <w:tab/>
            </w:r>
          </w:p>
          <w:p w14:paraId="1EC6C590" w14:textId="77777777" w:rsidR="006F3132" w:rsidRDefault="006F3132" w:rsidP="001007FE">
            <w:pPr>
              <w:pStyle w:val="Titredudocument"/>
            </w:pPr>
          </w:p>
          <w:p w14:paraId="663D64C2" w14:textId="381D4CB6" w:rsidR="00F063B8" w:rsidRDefault="00F063B8">
            <w:pPr>
              <w:pStyle w:val="Lieuetdate"/>
            </w:pPr>
            <w:r>
              <w:t>Paris, 18 April 2019</w:t>
            </w:r>
            <w:bookmarkEnd w:id="0"/>
          </w:p>
        </w:tc>
      </w:tr>
    </w:tbl>
    <w:p w14:paraId="1C7F3A45" w14:textId="3A1B36C8" w:rsidR="00F063B8" w:rsidRDefault="00F063B8" w:rsidP="00F063B8">
      <w:pPr>
        <w:pStyle w:val="Dateautomatique"/>
        <w:rPr>
          <w:color w:val="00AAC3" w:themeColor="text2"/>
          <w:sz w:val="60"/>
          <w:szCs w:val="60"/>
        </w:rPr>
      </w:pPr>
      <w:r>
        <w:br/>
      </w:r>
      <w:r>
        <w:br/>
      </w:r>
      <w:r w:rsidRPr="006353C3">
        <w:rPr>
          <w:color w:val="00AAC3" w:themeColor="text2"/>
          <w:sz w:val="60"/>
          <w:szCs w:val="60"/>
        </w:rPr>
        <w:t xml:space="preserve">Keolis </w:t>
      </w:r>
      <w:r>
        <w:rPr>
          <w:color w:val="00AAC3" w:themeColor="text2"/>
          <w:sz w:val="60"/>
          <w:szCs w:val="60"/>
        </w:rPr>
        <w:t xml:space="preserve">results </w:t>
      </w:r>
      <w:r w:rsidRPr="006353C3">
        <w:rPr>
          <w:color w:val="00AAC3" w:themeColor="text2"/>
          <w:sz w:val="60"/>
          <w:szCs w:val="60"/>
        </w:rPr>
        <w:t>2018 </w:t>
      </w:r>
    </w:p>
    <w:p w14:paraId="4A62BE0F" w14:textId="77777777" w:rsidR="00F063B8" w:rsidRPr="00827487" w:rsidRDefault="00F063B8" w:rsidP="00F063B8">
      <w:pPr>
        <w:pStyle w:val="Dateautomatique"/>
        <w:rPr>
          <w:sz w:val="22"/>
        </w:rPr>
      </w:pPr>
    </w:p>
    <w:p w14:paraId="7336E0B5" w14:textId="78B3E4B5" w:rsidR="00F063B8" w:rsidRPr="00423724" w:rsidRDefault="00F063B8" w:rsidP="00F063B8">
      <w:pPr>
        <w:keepNext/>
        <w:keepLines/>
        <w:spacing w:line="240" w:lineRule="auto"/>
        <w:outlineLvl w:val="0"/>
        <w:rPr>
          <w:rFonts w:asciiTheme="majorHAnsi" w:eastAsiaTheme="majorEastAsia" w:hAnsiTheme="majorHAnsi" w:cstheme="majorBidi"/>
          <w:bCs/>
          <w:color w:val="000000" w:themeColor="text1"/>
          <w:sz w:val="52"/>
          <w:szCs w:val="52"/>
        </w:rPr>
      </w:pPr>
      <w:r>
        <w:rPr>
          <w:rFonts w:asciiTheme="majorHAnsi" w:eastAsiaTheme="majorEastAsia" w:hAnsiTheme="majorHAnsi" w:cstheme="majorBidi"/>
          <w:bCs/>
          <w:color w:val="000000" w:themeColor="text1"/>
          <w:sz w:val="52"/>
          <w:szCs w:val="52"/>
        </w:rPr>
        <w:t>Record growth</w:t>
      </w:r>
      <w:r>
        <w:rPr>
          <w:rFonts w:asciiTheme="majorHAnsi" w:eastAsiaTheme="majorEastAsia" w:hAnsiTheme="majorHAnsi" w:cstheme="majorBidi"/>
          <w:bCs/>
          <w:color w:val="000000" w:themeColor="text1"/>
          <w:sz w:val="52"/>
          <w:szCs w:val="52"/>
        </w:rPr>
        <w:br/>
        <w:t>and continued transformation</w:t>
      </w:r>
    </w:p>
    <w:p w14:paraId="2070421B" w14:textId="77777777" w:rsidR="00286090" w:rsidRPr="00286090" w:rsidRDefault="00286090" w:rsidP="00286090"/>
    <w:p w14:paraId="16620987" w14:textId="77777777" w:rsidR="00F063B8" w:rsidRDefault="00F063B8" w:rsidP="0063240C">
      <w:pPr>
        <w:pStyle w:val="Textepuce"/>
        <w:numPr>
          <w:ilvl w:val="0"/>
          <w:numId w:val="0"/>
        </w:numPr>
        <w:ind w:left="170"/>
        <w:jc w:val="both"/>
      </w:pPr>
    </w:p>
    <w:p w14:paraId="222EBB3D" w14:textId="341A0357" w:rsidR="00953D7E" w:rsidRDefault="00953D7E" w:rsidP="0063240C">
      <w:pPr>
        <w:pStyle w:val="Textepuce"/>
        <w:numPr>
          <w:ilvl w:val="0"/>
          <w:numId w:val="0"/>
        </w:numPr>
        <w:ind w:left="170"/>
        <w:jc w:val="both"/>
      </w:pPr>
      <w:r>
        <w:t xml:space="preserve">2018 was an exceptional year of development for Keolis </w:t>
      </w:r>
      <w:r w:rsidR="001007FE">
        <w:t>with</w:t>
      </w:r>
      <w:r>
        <w:t xml:space="preserve"> many tenders</w:t>
      </w:r>
      <w:r w:rsidR="001007FE">
        <w:t xml:space="preserve"> </w:t>
      </w:r>
      <w:r>
        <w:t xml:space="preserve">won and </w:t>
      </w:r>
      <w:r w:rsidR="001007FE">
        <w:t xml:space="preserve">growth in </w:t>
      </w:r>
      <w:r w:rsidRPr="009B7AB4">
        <w:t>turnover</w:t>
      </w:r>
      <w:r>
        <w:t xml:space="preserve"> and EBITDA </w:t>
      </w:r>
      <w:r w:rsidR="001007FE">
        <w:t xml:space="preserve">of </w:t>
      </w:r>
      <w:r>
        <w:t xml:space="preserve">+10% and +15% respectively.  </w:t>
      </w:r>
    </w:p>
    <w:p w14:paraId="75D1D47F" w14:textId="74A8D266" w:rsidR="00BB1DA3" w:rsidRDefault="001007FE" w:rsidP="00953D7E">
      <w:pPr>
        <w:pStyle w:val="Textepuce"/>
        <w:numPr>
          <w:ilvl w:val="0"/>
          <w:numId w:val="12"/>
        </w:numPr>
        <w:jc w:val="both"/>
      </w:pPr>
      <w:r>
        <w:t>A</w:t>
      </w:r>
      <w:r w:rsidR="000153F1">
        <w:t>t</w:t>
      </w:r>
      <w:r>
        <w:t xml:space="preserve"> €5.93 Bn</w:t>
      </w:r>
      <w:r w:rsidR="000153F1">
        <w:t>,</w:t>
      </w:r>
      <w:r>
        <w:t xml:space="preserve"> t</w:t>
      </w:r>
      <w:r w:rsidR="00953D7E">
        <w:t>urnover</w:t>
      </w:r>
      <w:r w:rsidR="000153F1">
        <w:t xml:space="preserve"> increased significantly</w:t>
      </w:r>
      <w:r w:rsidR="00015EBE">
        <w:t xml:space="preserve"> </w:t>
      </w:r>
      <w:r w:rsidR="00953D7E">
        <w:t>notably thanks to the contract signed with Transport for Wale</w:t>
      </w:r>
      <w:r w:rsidR="006F3132">
        <w:t>s, and is</w:t>
      </w:r>
      <w:r w:rsidR="00953D7E">
        <w:t xml:space="preserve"> </w:t>
      </w:r>
      <w:r w:rsidR="00015EBE">
        <w:t>now</w:t>
      </w:r>
      <w:r w:rsidR="00953D7E">
        <w:t xml:space="preserve"> </w:t>
      </w:r>
      <w:r>
        <w:t xml:space="preserve">approaching </w:t>
      </w:r>
      <w:r w:rsidR="00953D7E">
        <w:t>the €6 billion milestone</w:t>
      </w:r>
      <w:r>
        <w:t>.</w:t>
      </w:r>
      <w:r w:rsidR="00953D7E">
        <w:t xml:space="preserve"> </w:t>
      </w:r>
    </w:p>
    <w:p w14:paraId="0DD1F4F7" w14:textId="28362720" w:rsidR="000E374D" w:rsidRPr="00826A44" w:rsidRDefault="00953D7E" w:rsidP="00953D7E">
      <w:pPr>
        <w:pStyle w:val="Textepuce"/>
        <w:numPr>
          <w:ilvl w:val="0"/>
          <w:numId w:val="12"/>
        </w:numPr>
        <w:jc w:val="both"/>
      </w:pPr>
      <w:r>
        <w:t>This strong growth in turnover comes with an even larger increase in profitability (recurring EBITDA), which rose by 15% in 2018, from €342 M to €</w:t>
      </w:r>
      <w:r>
        <w:rPr>
          <w:color w:val="000000" w:themeColor="text1"/>
        </w:rPr>
        <w:t>392 M.</w:t>
      </w:r>
    </w:p>
    <w:p w14:paraId="328D2A86" w14:textId="70C897B1" w:rsidR="00826A44" w:rsidRPr="006E636A" w:rsidRDefault="006E636A" w:rsidP="00953D7E">
      <w:pPr>
        <w:pStyle w:val="Textepuce"/>
        <w:numPr>
          <w:ilvl w:val="0"/>
          <w:numId w:val="12"/>
        </w:numPr>
        <w:jc w:val="both"/>
        <w:rPr>
          <w:color w:val="000000" w:themeColor="text1"/>
        </w:rPr>
      </w:pPr>
      <w:r w:rsidRPr="000153F1">
        <w:rPr>
          <w:color w:val="000000" w:themeColor="text1"/>
        </w:rPr>
        <w:t>Operating margin</w:t>
      </w:r>
      <w:r>
        <w:rPr>
          <w:color w:val="000000" w:themeColor="text1"/>
        </w:rPr>
        <w:t xml:space="preserve"> is 6.6%.</w:t>
      </w:r>
    </w:p>
    <w:p w14:paraId="44F74A2B" w14:textId="77777777" w:rsidR="00953D7E" w:rsidRPr="00953D7E" w:rsidRDefault="00953D7E" w:rsidP="00953D7E">
      <w:pPr>
        <w:pStyle w:val="Liststycke"/>
        <w:ind w:left="890"/>
        <w:jc w:val="both"/>
        <w:rPr>
          <w:rFonts w:eastAsiaTheme="minorHAnsi"/>
          <w:b/>
          <w:szCs w:val="22"/>
          <w:lang w:val="fr-FR" w:eastAsia="en-US"/>
        </w:rPr>
      </w:pPr>
    </w:p>
    <w:p w14:paraId="02F6955A" w14:textId="00083BA6" w:rsidR="007A1F10" w:rsidRPr="0018553B" w:rsidRDefault="007A1F10" w:rsidP="00DB2CAE">
      <w:pPr>
        <w:pStyle w:val="Textepuce"/>
        <w:numPr>
          <w:ilvl w:val="0"/>
          <w:numId w:val="0"/>
        </w:numPr>
        <w:ind w:left="170"/>
        <w:jc w:val="both"/>
        <w:rPr>
          <w:b w:val="0"/>
        </w:rPr>
      </w:pPr>
      <w:r>
        <w:rPr>
          <w:i/>
          <w:color w:val="000000" w:themeColor="text1"/>
        </w:rPr>
        <w:t xml:space="preserve">“Keolis continues its development, with </w:t>
      </w:r>
      <w:r w:rsidR="001B490B">
        <w:rPr>
          <w:i/>
          <w:color w:val="000000" w:themeColor="text1"/>
        </w:rPr>
        <w:t>two</w:t>
      </w:r>
      <w:r>
        <w:rPr>
          <w:i/>
          <w:color w:val="000000" w:themeColor="text1"/>
        </w:rPr>
        <w:t>-digit growth and a significant increase in its operating margins. We are investing to consolidate our status as a world player in the shared mobility market. Our performance provides us with the means to develop and to continue our transformation in an extremely competitive environment”</w:t>
      </w:r>
      <w:r w:rsidR="001B490B">
        <w:rPr>
          <w:i/>
          <w:color w:val="000000" w:themeColor="text1"/>
        </w:rPr>
        <w:t xml:space="preserve"> </w:t>
      </w:r>
      <w:r w:rsidR="001B490B" w:rsidRPr="0018553B">
        <w:rPr>
          <w:b w:val="0"/>
          <w:i/>
          <w:color w:val="000000" w:themeColor="text1"/>
        </w:rPr>
        <w:t>-</w:t>
      </w:r>
      <w:r w:rsidRPr="0018553B">
        <w:rPr>
          <w:b w:val="0"/>
          <w:i/>
          <w:color w:val="000000" w:themeColor="text1"/>
        </w:rPr>
        <w:t xml:space="preserve"> </w:t>
      </w:r>
      <w:r w:rsidRPr="0018553B">
        <w:rPr>
          <w:b w:val="0"/>
          <w:color w:val="000000" w:themeColor="text1"/>
        </w:rPr>
        <w:t>Jean-</w:t>
      </w:r>
      <w:r w:rsidRPr="0018553B">
        <w:rPr>
          <w:b w:val="0"/>
        </w:rPr>
        <w:t xml:space="preserve">Pierre </w:t>
      </w:r>
      <w:proofErr w:type="spellStart"/>
      <w:r w:rsidRPr="0018553B">
        <w:rPr>
          <w:b w:val="0"/>
        </w:rPr>
        <w:t>Farandou</w:t>
      </w:r>
      <w:proofErr w:type="spellEnd"/>
      <w:r w:rsidRPr="0018553B">
        <w:rPr>
          <w:b w:val="0"/>
        </w:rPr>
        <w:t xml:space="preserve">, </w:t>
      </w:r>
      <w:r w:rsidR="00AC6CF6" w:rsidRPr="0018553B">
        <w:rPr>
          <w:b w:val="0"/>
        </w:rPr>
        <w:t xml:space="preserve">Executive </w:t>
      </w:r>
      <w:r w:rsidRPr="0018553B">
        <w:rPr>
          <w:b w:val="0"/>
        </w:rPr>
        <w:t>Chairman of the Keolis Group.</w:t>
      </w:r>
    </w:p>
    <w:p w14:paraId="341CEAC1" w14:textId="136D72E3" w:rsidR="00FD20AD" w:rsidRDefault="005523F4" w:rsidP="0049604C">
      <w:pPr>
        <w:spacing w:line="276" w:lineRule="auto"/>
        <w:jc w:val="both"/>
        <w:rPr>
          <w:sz w:val="22"/>
        </w:rPr>
      </w:pPr>
      <w:r>
        <w:rPr>
          <w:sz w:val="22"/>
        </w:rPr>
        <w:t>Having re</w:t>
      </w:r>
      <w:r w:rsidR="001007FE">
        <w:rPr>
          <w:sz w:val="22"/>
        </w:rPr>
        <w:t xml:space="preserve">newed with </w:t>
      </w:r>
      <w:r w:rsidR="00AC6CF6">
        <w:rPr>
          <w:sz w:val="22"/>
        </w:rPr>
        <w:t xml:space="preserve">strong </w:t>
      </w:r>
      <w:r>
        <w:rPr>
          <w:sz w:val="22"/>
        </w:rPr>
        <w:t xml:space="preserve">growth in 2017 (+6.4%), </w:t>
      </w:r>
      <w:r w:rsidR="00624FAB">
        <w:rPr>
          <w:sz w:val="22"/>
        </w:rPr>
        <w:t>the</w:t>
      </w:r>
      <w:r>
        <w:rPr>
          <w:sz w:val="22"/>
        </w:rPr>
        <w:t xml:space="preserve"> growth rate</w:t>
      </w:r>
      <w:r w:rsidR="00624FAB">
        <w:rPr>
          <w:sz w:val="22"/>
        </w:rPr>
        <w:t xml:space="preserve"> of the Keolis Group</w:t>
      </w:r>
      <w:r>
        <w:rPr>
          <w:sz w:val="22"/>
        </w:rPr>
        <w:t xml:space="preserve"> reached a record </w:t>
      </w:r>
      <w:r w:rsidR="001B490B">
        <w:rPr>
          <w:sz w:val="22"/>
        </w:rPr>
        <w:t>+</w:t>
      </w:r>
      <w:r>
        <w:rPr>
          <w:sz w:val="22"/>
        </w:rPr>
        <w:t>10% in 2018. This dynami</w:t>
      </w:r>
      <w:r w:rsidR="001007FE">
        <w:rPr>
          <w:sz w:val="22"/>
        </w:rPr>
        <w:t>c</w:t>
      </w:r>
      <w:r>
        <w:rPr>
          <w:sz w:val="22"/>
        </w:rPr>
        <w:t xml:space="preserve"> is due to the</w:t>
      </w:r>
      <w:r w:rsidR="001007FE">
        <w:rPr>
          <w:sz w:val="22"/>
        </w:rPr>
        <w:t xml:space="preserve"> significan</w:t>
      </w:r>
      <w:r w:rsidR="002F5518">
        <w:rPr>
          <w:sz w:val="22"/>
        </w:rPr>
        <w:t>t</w:t>
      </w:r>
      <w:r w:rsidR="001007FE">
        <w:rPr>
          <w:sz w:val="22"/>
        </w:rPr>
        <w:t xml:space="preserve"> </w:t>
      </w:r>
      <w:r>
        <w:rPr>
          <w:sz w:val="22"/>
        </w:rPr>
        <w:t xml:space="preserve">successes achieved </w:t>
      </w:r>
      <w:r>
        <w:rPr>
          <w:sz w:val="22"/>
        </w:rPr>
        <w:lastRenderedPageBreak/>
        <w:t xml:space="preserve">both in France and internationally, and the </w:t>
      </w:r>
      <w:r w:rsidR="00624FAB">
        <w:rPr>
          <w:sz w:val="22"/>
        </w:rPr>
        <w:t xml:space="preserve">Keolis </w:t>
      </w:r>
      <w:r>
        <w:rPr>
          <w:sz w:val="22"/>
        </w:rPr>
        <w:t xml:space="preserve">Group’s capacity </w:t>
      </w:r>
      <w:r w:rsidR="00AC6CF6">
        <w:rPr>
          <w:color w:val="000000" w:themeColor="text1"/>
          <w:sz w:val="22"/>
        </w:rPr>
        <w:t xml:space="preserve">to </w:t>
      </w:r>
      <w:r>
        <w:rPr>
          <w:color w:val="000000" w:themeColor="text1"/>
          <w:sz w:val="22"/>
        </w:rPr>
        <w:t>adapt to changes in the sector with innovative, shared, sustainable, connected and autonomous mobility solutions.</w:t>
      </w:r>
    </w:p>
    <w:p w14:paraId="36050F3E" w14:textId="77777777" w:rsidR="005523F4" w:rsidRPr="005523F4" w:rsidRDefault="005523F4" w:rsidP="00BB1DA3">
      <w:pPr>
        <w:spacing w:line="276" w:lineRule="auto"/>
        <w:jc w:val="both"/>
        <w:rPr>
          <w:sz w:val="22"/>
        </w:rPr>
      </w:pPr>
    </w:p>
    <w:p w14:paraId="07425D84" w14:textId="77777777" w:rsidR="007026F5" w:rsidRPr="0095535F" w:rsidRDefault="007026F5" w:rsidP="00BB1DA3">
      <w:pPr>
        <w:spacing w:line="276" w:lineRule="auto"/>
        <w:jc w:val="both"/>
        <w:rPr>
          <w:sz w:val="22"/>
        </w:rPr>
      </w:pPr>
    </w:p>
    <w:p w14:paraId="4B704214" w14:textId="159652FF" w:rsidR="00BB1DA3" w:rsidRPr="00E6494D" w:rsidRDefault="00B31F6D" w:rsidP="00BB1DA3">
      <w:pPr>
        <w:spacing w:line="276" w:lineRule="auto"/>
        <w:jc w:val="both"/>
        <w:rPr>
          <w:rFonts w:asciiTheme="majorHAnsi" w:eastAsiaTheme="majorEastAsia" w:hAnsiTheme="majorHAnsi" w:cstheme="majorBidi"/>
          <w:b/>
          <w:bCs/>
          <w:color w:val="00AAC3" w:themeColor="text2"/>
          <w:sz w:val="26"/>
          <w:szCs w:val="26"/>
        </w:rPr>
      </w:pPr>
      <w:r>
        <w:rPr>
          <w:rFonts w:asciiTheme="majorHAnsi" w:hAnsiTheme="majorHAnsi"/>
          <w:b/>
          <w:bCs/>
          <w:color w:val="00AAC3" w:themeColor="text2"/>
          <w:sz w:val="26"/>
          <w:szCs w:val="26"/>
        </w:rPr>
        <w:t>2018 results: Strong growth for Keolis</w:t>
      </w:r>
    </w:p>
    <w:p w14:paraId="2CA3DEF2" w14:textId="77777777" w:rsidR="00BB1DA3" w:rsidRPr="00442606" w:rsidRDefault="00BB1DA3" w:rsidP="00826E7E">
      <w:pPr>
        <w:spacing w:line="276" w:lineRule="auto"/>
        <w:jc w:val="both"/>
        <w:rPr>
          <w:sz w:val="10"/>
          <w:szCs w:val="10"/>
        </w:rPr>
      </w:pPr>
    </w:p>
    <w:p w14:paraId="25ACB00D" w14:textId="18C54C51" w:rsidR="00826E7E" w:rsidRPr="00D10683" w:rsidRDefault="00826E7E" w:rsidP="00826E7E">
      <w:pPr>
        <w:pStyle w:val="Default"/>
        <w:jc w:val="both"/>
        <w:rPr>
          <w:rFonts w:asciiTheme="minorHAnsi" w:hAnsiTheme="minorHAnsi" w:cstheme="minorBidi"/>
          <w:color w:val="auto"/>
          <w:sz w:val="22"/>
          <w:szCs w:val="22"/>
        </w:rPr>
      </w:pPr>
      <w:r>
        <w:rPr>
          <w:sz w:val="22"/>
        </w:rPr>
        <w:t xml:space="preserve">The </w:t>
      </w:r>
      <w:r w:rsidR="00624FAB">
        <w:rPr>
          <w:sz w:val="22"/>
        </w:rPr>
        <w:t xml:space="preserve">Keolis </w:t>
      </w:r>
      <w:r>
        <w:rPr>
          <w:sz w:val="22"/>
        </w:rPr>
        <w:t xml:space="preserve">Group’s </w:t>
      </w:r>
      <w:r>
        <w:rPr>
          <w:rFonts w:asciiTheme="minorHAnsi" w:hAnsiTheme="minorHAnsi"/>
          <w:b/>
          <w:color w:val="auto"/>
          <w:sz w:val="22"/>
          <w:szCs w:val="22"/>
        </w:rPr>
        <w:t xml:space="preserve">turnover </w:t>
      </w:r>
      <w:r>
        <w:rPr>
          <w:rFonts w:asciiTheme="minorHAnsi" w:hAnsiTheme="minorHAnsi"/>
          <w:color w:val="auto"/>
          <w:sz w:val="22"/>
          <w:szCs w:val="22"/>
        </w:rPr>
        <w:t xml:space="preserve">reached </w:t>
      </w:r>
      <w:r>
        <w:rPr>
          <w:rFonts w:asciiTheme="minorHAnsi" w:hAnsiTheme="minorHAnsi"/>
          <w:b/>
          <w:color w:val="auto"/>
          <w:sz w:val="22"/>
          <w:szCs w:val="22"/>
        </w:rPr>
        <w:t>€5.</w:t>
      </w:r>
      <w:r w:rsidR="001B490B">
        <w:rPr>
          <w:rFonts w:asciiTheme="minorHAnsi" w:hAnsiTheme="minorHAnsi"/>
          <w:b/>
          <w:color w:val="auto"/>
          <w:sz w:val="22"/>
          <w:szCs w:val="22"/>
        </w:rPr>
        <w:t>93</w:t>
      </w:r>
      <w:r>
        <w:rPr>
          <w:rFonts w:asciiTheme="minorHAnsi" w:hAnsiTheme="minorHAnsi"/>
          <w:b/>
          <w:color w:val="auto"/>
          <w:sz w:val="22"/>
          <w:szCs w:val="22"/>
        </w:rPr>
        <w:t xml:space="preserve"> Bn</w:t>
      </w:r>
      <w:r>
        <w:rPr>
          <w:rFonts w:asciiTheme="minorHAnsi" w:hAnsiTheme="minorHAnsi"/>
          <w:color w:val="auto"/>
          <w:sz w:val="22"/>
          <w:szCs w:val="22"/>
        </w:rPr>
        <w:t xml:space="preserve"> in 2018, a </w:t>
      </w:r>
      <w:r>
        <w:rPr>
          <w:rFonts w:asciiTheme="minorHAnsi" w:hAnsiTheme="minorHAnsi"/>
          <w:b/>
          <w:color w:val="auto"/>
          <w:sz w:val="22"/>
          <w:szCs w:val="22"/>
        </w:rPr>
        <w:t xml:space="preserve">€535 </w:t>
      </w:r>
      <w:r>
        <w:rPr>
          <w:b/>
          <w:sz w:val="22"/>
        </w:rPr>
        <w:t>M</w:t>
      </w:r>
      <w:r>
        <w:rPr>
          <w:sz w:val="22"/>
        </w:rPr>
        <w:t xml:space="preserve"> increase </w:t>
      </w:r>
      <w:r w:rsidR="001007FE">
        <w:rPr>
          <w:sz w:val="22"/>
        </w:rPr>
        <w:t>on</w:t>
      </w:r>
      <w:r>
        <w:rPr>
          <w:sz w:val="22"/>
        </w:rPr>
        <w:t xml:space="preserve"> </w:t>
      </w:r>
      <w:r>
        <w:rPr>
          <w:rFonts w:asciiTheme="minorHAnsi" w:hAnsiTheme="minorHAnsi"/>
          <w:color w:val="auto"/>
          <w:sz w:val="22"/>
          <w:szCs w:val="22"/>
        </w:rPr>
        <w:t>2017 (+10%).</w:t>
      </w:r>
    </w:p>
    <w:p w14:paraId="6CEA96CC" w14:textId="77777777" w:rsidR="00826E7E" w:rsidRPr="0095535F" w:rsidRDefault="00826E7E" w:rsidP="00826E7E">
      <w:pPr>
        <w:pStyle w:val="Default"/>
        <w:jc w:val="both"/>
        <w:rPr>
          <w:rFonts w:asciiTheme="minorHAnsi" w:hAnsiTheme="minorHAnsi" w:cstheme="minorBidi"/>
          <w:color w:val="auto"/>
          <w:sz w:val="22"/>
          <w:szCs w:val="22"/>
        </w:rPr>
      </w:pPr>
    </w:p>
    <w:p w14:paraId="7EA7F329" w14:textId="4D0AA879" w:rsidR="00826E7E" w:rsidRPr="000A2998" w:rsidRDefault="00762036" w:rsidP="00826E7E">
      <w:pPr>
        <w:pStyle w:val="Default"/>
        <w:jc w:val="both"/>
        <w:rPr>
          <w:rFonts w:asciiTheme="minorHAnsi" w:hAnsiTheme="minorHAnsi" w:cstheme="minorBidi"/>
          <w:color w:val="000000" w:themeColor="text1"/>
          <w:sz w:val="22"/>
          <w:szCs w:val="22"/>
        </w:rPr>
      </w:pPr>
      <w:r>
        <w:rPr>
          <w:rFonts w:asciiTheme="minorHAnsi" w:hAnsiTheme="minorHAnsi"/>
          <w:sz w:val="22"/>
          <w:szCs w:val="22"/>
        </w:rPr>
        <w:t xml:space="preserve">Revenues grew </w:t>
      </w:r>
      <w:r w:rsidR="009706A8">
        <w:rPr>
          <w:rFonts w:asciiTheme="minorHAnsi" w:hAnsiTheme="minorHAnsi"/>
          <w:sz w:val="22"/>
          <w:szCs w:val="22"/>
        </w:rPr>
        <w:t xml:space="preserve">organically by </w:t>
      </w:r>
      <w:r w:rsidR="009706A8">
        <w:rPr>
          <w:rFonts w:asciiTheme="minorHAnsi" w:hAnsiTheme="minorHAnsi"/>
          <w:b/>
          <w:color w:val="auto"/>
          <w:sz w:val="22"/>
          <w:szCs w:val="22"/>
        </w:rPr>
        <w:t>+</w:t>
      </w:r>
      <w:r w:rsidR="009706A8">
        <w:rPr>
          <w:rFonts w:asciiTheme="minorHAnsi" w:hAnsiTheme="minorHAnsi"/>
          <w:b/>
          <w:color w:val="000000" w:themeColor="text1"/>
          <w:sz w:val="22"/>
          <w:szCs w:val="22"/>
        </w:rPr>
        <w:t>10.4%</w:t>
      </w:r>
      <w:r w:rsidR="009706A8">
        <w:rPr>
          <w:rFonts w:asciiTheme="minorHAnsi" w:hAnsiTheme="minorHAnsi"/>
          <w:color w:val="000000" w:themeColor="text1"/>
          <w:sz w:val="22"/>
          <w:szCs w:val="22"/>
        </w:rPr>
        <w:t xml:space="preserve"> excluding the effects of foreign exchange and</w:t>
      </w:r>
      <w:r w:rsidR="00AC091C">
        <w:rPr>
          <w:rFonts w:asciiTheme="minorHAnsi" w:hAnsiTheme="minorHAnsi"/>
          <w:color w:val="000000" w:themeColor="text1"/>
          <w:sz w:val="22"/>
          <w:szCs w:val="22"/>
        </w:rPr>
        <w:t xml:space="preserve"> </w:t>
      </w:r>
      <w:r w:rsidR="009706A8">
        <w:rPr>
          <w:rFonts w:asciiTheme="minorHAnsi" w:hAnsiTheme="minorHAnsi"/>
          <w:color w:val="000000" w:themeColor="text1"/>
          <w:sz w:val="22"/>
          <w:szCs w:val="22"/>
        </w:rPr>
        <w:t>changes</w:t>
      </w:r>
      <w:r w:rsidR="00AC091C">
        <w:rPr>
          <w:rFonts w:asciiTheme="minorHAnsi" w:hAnsiTheme="minorHAnsi"/>
          <w:color w:val="000000" w:themeColor="text1"/>
          <w:sz w:val="22"/>
          <w:szCs w:val="22"/>
        </w:rPr>
        <w:t xml:space="preserve"> in scope</w:t>
      </w:r>
      <w:r w:rsidR="009706A8">
        <w:rPr>
          <w:rFonts w:asciiTheme="minorHAnsi" w:hAnsiTheme="minorHAnsi"/>
          <w:color w:val="000000" w:themeColor="text1"/>
          <w:sz w:val="22"/>
          <w:szCs w:val="22"/>
        </w:rPr>
        <w:t xml:space="preserve">, and </w:t>
      </w:r>
      <w:r w:rsidR="009706A8">
        <w:rPr>
          <w:rFonts w:asciiTheme="minorHAnsi" w:hAnsiTheme="minorHAnsi"/>
          <w:color w:val="auto"/>
          <w:sz w:val="22"/>
          <w:szCs w:val="22"/>
        </w:rPr>
        <w:t xml:space="preserve">by </w:t>
      </w:r>
      <w:r w:rsidR="009706A8">
        <w:rPr>
          <w:rFonts w:asciiTheme="minorHAnsi" w:hAnsiTheme="minorHAnsi"/>
          <w:b/>
          <w:color w:val="auto"/>
          <w:sz w:val="22"/>
          <w:szCs w:val="22"/>
        </w:rPr>
        <w:t>+</w:t>
      </w:r>
      <w:r w:rsidR="001B490B">
        <w:rPr>
          <w:rFonts w:asciiTheme="minorHAnsi" w:hAnsiTheme="minorHAnsi"/>
          <w:b/>
          <w:color w:val="auto"/>
          <w:sz w:val="22"/>
          <w:szCs w:val="22"/>
        </w:rPr>
        <w:t>12</w:t>
      </w:r>
      <w:r w:rsidR="009706A8">
        <w:rPr>
          <w:rFonts w:asciiTheme="minorHAnsi" w:hAnsiTheme="minorHAnsi"/>
          <w:b/>
          <w:color w:val="auto"/>
          <w:sz w:val="22"/>
          <w:szCs w:val="22"/>
        </w:rPr>
        <w:t>%</w:t>
      </w:r>
      <w:r w:rsidR="009706A8">
        <w:rPr>
          <w:rFonts w:asciiTheme="minorHAnsi" w:hAnsiTheme="minorHAnsi"/>
          <w:color w:val="auto"/>
          <w:sz w:val="22"/>
          <w:szCs w:val="22"/>
        </w:rPr>
        <w:t xml:space="preserve"> at constant exchange rates</w:t>
      </w:r>
      <w:r w:rsidR="009706A8">
        <w:rPr>
          <w:rFonts w:asciiTheme="minorHAnsi" w:hAnsiTheme="minorHAnsi"/>
          <w:color w:val="000000" w:themeColor="text1"/>
          <w:sz w:val="22"/>
          <w:szCs w:val="22"/>
        </w:rPr>
        <w:t>. This large increase is due to the very good results recorded by all the businesses</w:t>
      </w:r>
      <w:r w:rsidR="00624FAB">
        <w:rPr>
          <w:rFonts w:asciiTheme="minorHAnsi" w:hAnsiTheme="minorHAnsi"/>
          <w:color w:val="000000" w:themeColor="text1"/>
          <w:sz w:val="22"/>
          <w:szCs w:val="22"/>
        </w:rPr>
        <w:t xml:space="preserve"> of the Keolis Group</w:t>
      </w:r>
      <w:r w:rsidR="009706A8">
        <w:rPr>
          <w:rFonts w:asciiTheme="minorHAnsi" w:hAnsiTheme="minorHAnsi"/>
          <w:color w:val="000000" w:themeColor="text1"/>
          <w:sz w:val="22"/>
          <w:szCs w:val="22"/>
        </w:rPr>
        <w:t xml:space="preserve"> and by the launch of the record contract in Wales as well as other contracts in Europe (Netherlands, Germany, </w:t>
      </w:r>
      <w:r>
        <w:rPr>
          <w:rFonts w:asciiTheme="minorHAnsi" w:hAnsiTheme="minorHAnsi"/>
          <w:color w:val="000000" w:themeColor="text1"/>
          <w:sz w:val="22"/>
          <w:szCs w:val="22"/>
        </w:rPr>
        <w:t>UK</w:t>
      </w:r>
      <w:r w:rsidR="009706A8">
        <w:rPr>
          <w:rFonts w:asciiTheme="minorHAnsi" w:hAnsiTheme="minorHAnsi"/>
          <w:color w:val="000000" w:themeColor="text1"/>
          <w:sz w:val="22"/>
          <w:szCs w:val="22"/>
        </w:rPr>
        <w:t>) and Australia.</w:t>
      </w:r>
    </w:p>
    <w:p w14:paraId="0C287132" w14:textId="77777777" w:rsidR="00826E7E" w:rsidRPr="0095535F" w:rsidRDefault="00826E7E" w:rsidP="00826E7E">
      <w:pPr>
        <w:pStyle w:val="Default"/>
        <w:jc w:val="both"/>
        <w:rPr>
          <w:rFonts w:asciiTheme="minorHAnsi" w:hAnsiTheme="minorHAnsi" w:cstheme="minorBidi"/>
          <w:color w:val="auto"/>
          <w:sz w:val="22"/>
          <w:szCs w:val="22"/>
        </w:rPr>
      </w:pPr>
    </w:p>
    <w:p w14:paraId="068B440A" w14:textId="79A26666" w:rsidR="00826E7E" w:rsidRPr="0095535F" w:rsidRDefault="00826E7E" w:rsidP="00826E7E">
      <w:pPr>
        <w:pStyle w:val="Default"/>
        <w:jc w:val="both"/>
        <w:rPr>
          <w:rFonts w:asciiTheme="minorHAnsi" w:hAnsiTheme="minorHAnsi" w:cstheme="minorBidi"/>
          <w:color w:val="auto"/>
          <w:sz w:val="22"/>
          <w:szCs w:val="22"/>
        </w:rPr>
      </w:pPr>
      <w:r>
        <w:rPr>
          <w:rFonts w:asciiTheme="minorHAnsi" w:hAnsiTheme="minorHAnsi"/>
          <w:color w:val="auto"/>
          <w:sz w:val="22"/>
          <w:szCs w:val="22"/>
        </w:rPr>
        <w:t xml:space="preserve">The </w:t>
      </w:r>
      <w:r w:rsidR="009B0086">
        <w:rPr>
          <w:rFonts w:asciiTheme="minorHAnsi" w:hAnsiTheme="minorHAnsi"/>
          <w:color w:val="auto"/>
          <w:sz w:val="22"/>
          <w:szCs w:val="22"/>
        </w:rPr>
        <w:t xml:space="preserve">Keolis Group’s </w:t>
      </w:r>
      <w:r w:rsidRPr="0018553B">
        <w:rPr>
          <w:rFonts w:asciiTheme="minorHAnsi" w:hAnsiTheme="minorHAnsi"/>
          <w:b/>
          <w:color w:val="auto"/>
          <w:sz w:val="22"/>
          <w:szCs w:val="22"/>
        </w:rPr>
        <w:t>profitability</w:t>
      </w:r>
      <w:r>
        <w:rPr>
          <w:rFonts w:asciiTheme="minorHAnsi" w:hAnsiTheme="minorHAnsi"/>
          <w:color w:val="auto"/>
          <w:sz w:val="22"/>
          <w:szCs w:val="22"/>
        </w:rPr>
        <w:t xml:space="preserve"> (</w:t>
      </w:r>
      <w:r w:rsidRPr="0018553B">
        <w:rPr>
          <w:rFonts w:asciiTheme="minorHAnsi" w:hAnsiTheme="minorHAnsi"/>
          <w:color w:val="auto"/>
          <w:sz w:val="22"/>
          <w:szCs w:val="22"/>
        </w:rPr>
        <w:t>recurring EBITDA</w:t>
      </w:r>
      <w:r>
        <w:rPr>
          <w:rFonts w:asciiTheme="minorHAnsi" w:hAnsiTheme="minorHAnsi"/>
          <w:color w:val="auto"/>
          <w:sz w:val="22"/>
          <w:szCs w:val="22"/>
        </w:rPr>
        <w:t xml:space="preserve">) also increased significantly compared </w:t>
      </w:r>
      <w:r w:rsidR="00E0632F">
        <w:rPr>
          <w:rFonts w:asciiTheme="minorHAnsi" w:hAnsiTheme="minorHAnsi"/>
          <w:color w:val="auto"/>
          <w:sz w:val="22"/>
          <w:szCs w:val="22"/>
        </w:rPr>
        <w:t xml:space="preserve">to </w:t>
      </w:r>
      <w:r>
        <w:rPr>
          <w:rFonts w:asciiTheme="minorHAnsi" w:hAnsiTheme="minorHAnsi"/>
          <w:color w:val="auto"/>
          <w:sz w:val="22"/>
          <w:szCs w:val="22"/>
        </w:rPr>
        <w:t>the previous year</w:t>
      </w:r>
      <w:r>
        <w:rPr>
          <w:rFonts w:asciiTheme="minorHAnsi" w:hAnsiTheme="minorHAnsi"/>
          <w:b/>
          <w:color w:val="auto"/>
          <w:sz w:val="22"/>
          <w:szCs w:val="22"/>
        </w:rPr>
        <w:t xml:space="preserve"> </w:t>
      </w:r>
      <w:r w:rsidRPr="00B62060">
        <w:rPr>
          <w:rFonts w:asciiTheme="minorHAnsi" w:hAnsiTheme="minorHAnsi"/>
          <w:color w:val="auto"/>
          <w:sz w:val="22"/>
          <w:szCs w:val="22"/>
        </w:rPr>
        <w:t>(</w:t>
      </w:r>
      <w:r>
        <w:rPr>
          <w:rFonts w:asciiTheme="minorHAnsi" w:hAnsiTheme="minorHAnsi"/>
          <w:b/>
          <w:color w:val="auto"/>
          <w:sz w:val="22"/>
          <w:szCs w:val="22"/>
        </w:rPr>
        <w:t>+15%</w:t>
      </w:r>
      <w:r>
        <w:rPr>
          <w:rFonts w:asciiTheme="minorHAnsi" w:hAnsiTheme="minorHAnsi"/>
          <w:color w:val="auto"/>
          <w:sz w:val="22"/>
          <w:szCs w:val="22"/>
        </w:rPr>
        <w:t xml:space="preserve">), reaching </w:t>
      </w:r>
      <w:r>
        <w:rPr>
          <w:rFonts w:asciiTheme="minorHAnsi" w:hAnsiTheme="minorHAnsi"/>
          <w:b/>
          <w:bCs/>
          <w:color w:val="auto"/>
          <w:sz w:val="22"/>
          <w:szCs w:val="22"/>
        </w:rPr>
        <w:t>€</w:t>
      </w:r>
      <w:r>
        <w:rPr>
          <w:rFonts w:asciiTheme="minorHAnsi" w:hAnsiTheme="minorHAnsi"/>
          <w:b/>
          <w:color w:val="auto"/>
          <w:sz w:val="22"/>
          <w:szCs w:val="22"/>
        </w:rPr>
        <w:t>392 M</w:t>
      </w:r>
      <w:r>
        <w:rPr>
          <w:rFonts w:asciiTheme="minorHAnsi" w:hAnsiTheme="minorHAnsi"/>
          <w:color w:val="auto"/>
          <w:sz w:val="22"/>
          <w:szCs w:val="22"/>
        </w:rPr>
        <w:t>, mainly due to organic growth</w:t>
      </w:r>
      <w:r w:rsidR="00E0632F">
        <w:rPr>
          <w:rFonts w:asciiTheme="minorHAnsi" w:hAnsiTheme="minorHAnsi"/>
          <w:color w:val="auto"/>
          <w:sz w:val="22"/>
          <w:szCs w:val="22"/>
        </w:rPr>
        <w:t>. This translates into a 2018 operating mar</w:t>
      </w:r>
      <w:r w:rsidR="00497BC9">
        <w:rPr>
          <w:rFonts w:asciiTheme="minorHAnsi" w:hAnsiTheme="minorHAnsi"/>
          <w:color w:val="auto"/>
          <w:sz w:val="22"/>
          <w:szCs w:val="22"/>
        </w:rPr>
        <w:t>gin</w:t>
      </w:r>
      <w:r w:rsidR="00E0632F">
        <w:rPr>
          <w:rFonts w:asciiTheme="minorHAnsi" w:hAnsiTheme="minorHAnsi"/>
          <w:color w:val="auto"/>
          <w:sz w:val="22"/>
          <w:szCs w:val="22"/>
        </w:rPr>
        <w:t xml:space="preserve"> of </w:t>
      </w:r>
      <w:r>
        <w:rPr>
          <w:rFonts w:asciiTheme="minorHAnsi" w:hAnsiTheme="minorHAnsi"/>
          <w:b/>
          <w:color w:val="auto"/>
          <w:sz w:val="22"/>
          <w:szCs w:val="22"/>
        </w:rPr>
        <w:t>6.6%</w:t>
      </w:r>
      <w:r>
        <w:rPr>
          <w:rFonts w:asciiTheme="minorHAnsi" w:hAnsiTheme="minorHAnsi"/>
          <w:color w:val="auto"/>
          <w:sz w:val="22"/>
          <w:szCs w:val="22"/>
        </w:rPr>
        <w:t xml:space="preserve"> (compared with 6.3% in 2017).</w:t>
      </w:r>
    </w:p>
    <w:p w14:paraId="27BDE1F1" w14:textId="77777777" w:rsidR="00826E7E" w:rsidRPr="0095535F" w:rsidRDefault="00826E7E" w:rsidP="00826E7E">
      <w:pPr>
        <w:pStyle w:val="Default"/>
        <w:jc w:val="both"/>
        <w:rPr>
          <w:rFonts w:asciiTheme="minorHAnsi" w:hAnsiTheme="minorHAnsi" w:cstheme="minorBidi"/>
          <w:color w:val="auto"/>
          <w:sz w:val="22"/>
          <w:szCs w:val="22"/>
        </w:rPr>
      </w:pPr>
    </w:p>
    <w:p w14:paraId="3A9197C5" w14:textId="66690992" w:rsidR="00826E7E" w:rsidRPr="0095535F" w:rsidRDefault="00826E7E" w:rsidP="00826E7E">
      <w:pPr>
        <w:pStyle w:val="Default"/>
        <w:jc w:val="both"/>
        <w:rPr>
          <w:rFonts w:asciiTheme="minorHAnsi" w:hAnsiTheme="minorHAnsi" w:cstheme="minorBidi"/>
          <w:color w:val="auto"/>
          <w:sz w:val="22"/>
          <w:szCs w:val="22"/>
        </w:rPr>
      </w:pPr>
      <w:r>
        <w:rPr>
          <w:rFonts w:asciiTheme="minorHAnsi" w:hAnsiTheme="minorHAnsi"/>
          <w:sz w:val="22"/>
          <w:szCs w:val="22"/>
        </w:rPr>
        <w:t xml:space="preserve">The financial </w:t>
      </w:r>
      <w:r>
        <w:rPr>
          <w:rFonts w:asciiTheme="minorHAnsi" w:hAnsiTheme="minorHAnsi"/>
          <w:color w:val="auto"/>
          <w:sz w:val="22"/>
          <w:szCs w:val="22"/>
        </w:rPr>
        <w:t xml:space="preserve">structure has been strengthened, with </w:t>
      </w:r>
      <w:r w:rsidR="00E0632F" w:rsidRPr="00B62060">
        <w:rPr>
          <w:rFonts w:asciiTheme="minorHAnsi" w:hAnsiTheme="minorHAnsi"/>
          <w:b/>
          <w:color w:val="auto"/>
          <w:sz w:val="22"/>
          <w:szCs w:val="22"/>
        </w:rPr>
        <w:t>net</w:t>
      </w:r>
      <w:r>
        <w:rPr>
          <w:rFonts w:asciiTheme="minorHAnsi" w:hAnsiTheme="minorHAnsi"/>
          <w:b/>
          <w:bCs/>
          <w:color w:val="auto"/>
          <w:sz w:val="22"/>
          <w:szCs w:val="22"/>
        </w:rPr>
        <w:t xml:space="preserve"> debt </w:t>
      </w:r>
      <w:r w:rsidR="00E0632F" w:rsidRPr="00B62060">
        <w:rPr>
          <w:rFonts w:asciiTheme="minorHAnsi" w:hAnsiTheme="minorHAnsi"/>
          <w:bCs/>
          <w:color w:val="auto"/>
          <w:sz w:val="22"/>
          <w:szCs w:val="22"/>
        </w:rPr>
        <w:t xml:space="preserve">at </w:t>
      </w:r>
      <w:r>
        <w:rPr>
          <w:rFonts w:asciiTheme="minorHAnsi" w:hAnsiTheme="minorHAnsi"/>
          <w:b/>
          <w:bCs/>
          <w:color w:val="auto"/>
          <w:sz w:val="22"/>
          <w:szCs w:val="22"/>
        </w:rPr>
        <w:t>€</w:t>
      </w:r>
      <w:r>
        <w:rPr>
          <w:rFonts w:asciiTheme="minorHAnsi" w:hAnsiTheme="minorHAnsi"/>
          <w:b/>
          <w:color w:val="auto"/>
          <w:sz w:val="22"/>
          <w:szCs w:val="22"/>
        </w:rPr>
        <w:t>982 M</w:t>
      </w:r>
      <w:r w:rsidR="00497BC9" w:rsidRPr="00B62060">
        <w:rPr>
          <w:rFonts w:asciiTheme="minorHAnsi" w:hAnsiTheme="minorHAnsi"/>
          <w:color w:val="auto"/>
          <w:sz w:val="22"/>
          <w:szCs w:val="22"/>
        </w:rPr>
        <w:t>,</w:t>
      </w:r>
      <w:r>
        <w:rPr>
          <w:rFonts w:asciiTheme="minorHAnsi" w:hAnsiTheme="minorHAnsi"/>
          <w:color w:val="auto"/>
          <w:sz w:val="22"/>
          <w:szCs w:val="22"/>
        </w:rPr>
        <w:t xml:space="preserve"> </w:t>
      </w:r>
      <w:r w:rsidR="00E0632F">
        <w:rPr>
          <w:rFonts w:asciiTheme="minorHAnsi" w:hAnsiTheme="minorHAnsi"/>
          <w:color w:val="auto"/>
          <w:sz w:val="22"/>
          <w:szCs w:val="22"/>
        </w:rPr>
        <w:t>lower than the previous year</w:t>
      </w:r>
      <w:r>
        <w:rPr>
          <w:rFonts w:asciiTheme="minorHAnsi" w:hAnsiTheme="minorHAnsi"/>
          <w:color w:val="auto"/>
          <w:sz w:val="22"/>
          <w:szCs w:val="22"/>
        </w:rPr>
        <w:t> </w:t>
      </w:r>
      <w:r w:rsidR="00E0632F">
        <w:rPr>
          <w:rFonts w:asciiTheme="minorHAnsi" w:hAnsiTheme="minorHAnsi"/>
          <w:color w:val="auto"/>
          <w:sz w:val="22"/>
          <w:szCs w:val="22"/>
        </w:rPr>
        <w:t>(</w:t>
      </w:r>
      <w:r w:rsidRPr="009B7AB4">
        <w:rPr>
          <w:rFonts w:asciiTheme="minorHAnsi" w:hAnsiTheme="minorHAnsi"/>
          <w:color w:val="auto"/>
          <w:sz w:val="22"/>
          <w:szCs w:val="22"/>
        </w:rPr>
        <w:t>€1,011 M</w:t>
      </w:r>
      <w:r w:rsidR="00E0632F">
        <w:rPr>
          <w:rFonts w:asciiTheme="minorHAnsi" w:hAnsiTheme="minorHAnsi"/>
          <w:color w:val="auto"/>
          <w:sz w:val="22"/>
          <w:szCs w:val="22"/>
        </w:rPr>
        <w:t>)</w:t>
      </w:r>
      <w:r>
        <w:rPr>
          <w:rFonts w:asciiTheme="minorHAnsi" w:hAnsiTheme="minorHAnsi"/>
          <w:color w:val="auto"/>
          <w:sz w:val="22"/>
          <w:szCs w:val="22"/>
        </w:rPr>
        <w:t xml:space="preserve">. </w:t>
      </w:r>
      <w:r w:rsidR="00E0632F">
        <w:rPr>
          <w:rFonts w:asciiTheme="minorHAnsi" w:hAnsiTheme="minorHAnsi"/>
          <w:color w:val="auto"/>
          <w:sz w:val="22"/>
          <w:szCs w:val="22"/>
        </w:rPr>
        <w:t xml:space="preserve">The net debt/EBITDA </w:t>
      </w:r>
      <w:r w:rsidR="00E0632F" w:rsidRPr="000153F1">
        <w:rPr>
          <w:rFonts w:asciiTheme="minorHAnsi" w:hAnsiTheme="minorHAnsi"/>
          <w:color w:val="auto"/>
          <w:sz w:val="22"/>
          <w:szCs w:val="22"/>
        </w:rPr>
        <w:t>ratio is</w:t>
      </w:r>
      <w:r w:rsidR="00E0632F">
        <w:rPr>
          <w:rFonts w:asciiTheme="minorHAnsi" w:hAnsiTheme="minorHAnsi"/>
          <w:color w:val="auto"/>
          <w:sz w:val="22"/>
          <w:szCs w:val="22"/>
        </w:rPr>
        <w:t xml:space="preserve"> </w:t>
      </w:r>
      <w:r w:rsidR="000153F1">
        <w:rPr>
          <w:rFonts w:asciiTheme="minorHAnsi" w:hAnsiTheme="minorHAnsi"/>
          <w:color w:val="auto"/>
          <w:sz w:val="22"/>
          <w:szCs w:val="22"/>
        </w:rPr>
        <w:t xml:space="preserve">at </w:t>
      </w:r>
      <w:r>
        <w:rPr>
          <w:rFonts w:asciiTheme="minorHAnsi" w:hAnsiTheme="minorHAnsi"/>
          <w:b/>
          <w:color w:val="000000" w:themeColor="text1"/>
          <w:sz w:val="22"/>
          <w:szCs w:val="22"/>
        </w:rPr>
        <w:t>2.2x</w:t>
      </w:r>
      <w:r w:rsidR="00E0632F">
        <w:rPr>
          <w:rFonts w:asciiTheme="minorHAnsi" w:hAnsiTheme="minorHAnsi"/>
          <w:color w:val="000000" w:themeColor="text1"/>
          <w:sz w:val="22"/>
          <w:szCs w:val="22"/>
        </w:rPr>
        <w:t xml:space="preserve">, </w:t>
      </w:r>
      <w:r>
        <w:rPr>
          <w:rFonts w:asciiTheme="minorHAnsi" w:hAnsiTheme="minorHAnsi"/>
          <w:color w:val="000000" w:themeColor="text1"/>
          <w:sz w:val="22"/>
          <w:szCs w:val="22"/>
        </w:rPr>
        <w:t xml:space="preserve">well below the limits set in the </w:t>
      </w:r>
      <w:r w:rsidR="00E0632F">
        <w:rPr>
          <w:rFonts w:asciiTheme="minorHAnsi" w:hAnsiTheme="minorHAnsi"/>
          <w:color w:val="000000" w:themeColor="text1"/>
          <w:sz w:val="22"/>
          <w:szCs w:val="22"/>
        </w:rPr>
        <w:t xml:space="preserve">group’s covenant. </w:t>
      </w:r>
    </w:p>
    <w:p w14:paraId="7E782366" w14:textId="77777777" w:rsidR="00826E7E" w:rsidRPr="0095535F" w:rsidRDefault="00826E7E" w:rsidP="00826E7E">
      <w:pPr>
        <w:jc w:val="both"/>
        <w:rPr>
          <w:sz w:val="22"/>
        </w:rPr>
      </w:pPr>
    </w:p>
    <w:p w14:paraId="61F30128" w14:textId="4BC4128B" w:rsidR="00826E7E" w:rsidRDefault="00826E7E" w:rsidP="00826E7E">
      <w:pPr>
        <w:jc w:val="both"/>
        <w:rPr>
          <w:sz w:val="22"/>
        </w:rPr>
      </w:pPr>
      <w:r>
        <w:rPr>
          <w:sz w:val="22"/>
        </w:rPr>
        <w:t xml:space="preserve">The </w:t>
      </w:r>
      <w:r>
        <w:rPr>
          <w:b/>
          <w:sz w:val="22"/>
        </w:rPr>
        <w:t xml:space="preserve">recurring net profit Group share </w:t>
      </w:r>
      <w:r>
        <w:rPr>
          <w:sz w:val="22"/>
        </w:rPr>
        <w:t xml:space="preserve">is </w:t>
      </w:r>
      <w:r>
        <w:rPr>
          <w:b/>
          <w:bCs/>
          <w:sz w:val="22"/>
        </w:rPr>
        <w:t>€</w:t>
      </w:r>
      <w:r>
        <w:rPr>
          <w:b/>
          <w:sz w:val="22"/>
        </w:rPr>
        <w:t>79 M</w:t>
      </w:r>
      <w:r>
        <w:rPr>
          <w:sz w:val="22"/>
        </w:rPr>
        <w:t>, 5.6% less than in 2017; this is due to the effects of taxes, notably related to the CICE (tax credit for competitiveness and employment) and CVAE (contribution on added value).</w:t>
      </w:r>
    </w:p>
    <w:p w14:paraId="1EF0FFBC" w14:textId="77777777" w:rsidR="001B490B" w:rsidRDefault="001B490B" w:rsidP="00826E7E">
      <w:pPr>
        <w:jc w:val="both"/>
        <w:rPr>
          <w:sz w:val="22"/>
        </w:rPr>
      </w:pPr>
    </w:p>
    <w:p w14:paraId="750B2B5B" w14:textId="38245998" w:rsidR="001B490B" w:rsidRDefault="001B490B" w:rsidP="001B490B">
      <w:pPr>
        <w:jc w:val="both"/>
      </w:pPr>
      <w:r>
        <w:rPr>
          <w:sz w:val="22"/>
        </w:rPr>
        <w:t xml:space="preserve">The </w:t>
      </w:r>
      <w:r>
        <w:rPr>
          <w:b/>
          <w:sz w:val="22"/>
        </w:rPr>
        <w:t xml:space="preserve">net profit Group share </w:t>
      </w:r>
      <w:r>
        <w:rPr>
          <w:sz w:val="22"/>
        </w:rPr>
        <w:t xml:space="preserve">is </w:t>
      </w:r>
      <w:r w:rsidRPr="0018553B">
        <w:rPr>
          <w:b/>
          <w:sz w:val="22"/>
        </w:rPr>
        <w:t>€</w:t>
      </w:r>
      <w:r>
        <w:rPr>
          <w:b/>
          <w:sz w:val="22"/>
        </w:rPr>
        <w:t xml:space="preserve">30.9 M </w:t>
      </w:r>
      <w:r>
        <w:rPr>
          <w:sz w:val="22"/>
        </w:rPr>
        <w:t xml:space="preserve">in 2018, </w:t>
      </w:r>
      <w:r w:rsidR="00E0632F">
        <w:rPr>
          <w:sz w:val="22"/>
        </w:rPr>
        <w:t>below</w:t>
      </w:r>
      <w:r>
        <w:rPr>
          <w:sz w:val="22"/>
        </w:rPr>
        <w:t xml:space="preserve"> 2017 (</w:t>
      </w:r>
      <w:r w:rsidRPr="0018553B">
        <w:rPr>
          <w:b/>
          <w:sz w:val="22"/>
        </w:rPr>
        <w:t>€</w:t>
      </w:r>
      <w:r>
        <w:rPr>
          <w:b/>
          <w:sz w:val="22"/>
        </w:rPr>
        <w:t>50.9 M</w:t>
      </w:r>
      <w:r>
        <w:rPr>
          <w:sz w:val="22"/>
        </w:rPr>
        <w:t>)</w:t>
      </w:r>
      <w:r w:rsidR="00E0632F">
        <w:rPr>
          <w:sz w:val="22"/>
        </w:rPr>
        <w:t xml:space="preserve">, explained by various </w:t>
      </w:r>
      <w:r>
        <w:rPr>
          <w:sz w:val="22"/>
        </w:rPr>
        <w:t xml:space="preserve">tax </w:t>
      </w:r>
      <w:r w:rsidR="00E0632F">
        <w:rPr>
          <w:sz w:val="22"/>
        </w:rPr>
        <w:t>impacts a</w:t>
      </w:r>
      <w:r>
        <w:rPr>
          <w:sz w:val="22"/>
        </w:rPr>
        <w:t xml:space="preserve">nd non-recurring </w:t>
      </w:r>
      <w:r w:rsidR="00E0632F">
        <w:rPr>
          <w:sz w:val="22"/>
        </w:rPr>
        <w:t>items</w:t>
      </w:r>
      <w:r>
        <w:rPr>
          <w:sz w:val="22"/>
        </w:rPr>
        <w:t xml:space="preserve"> that have no impact on the Group’s cash flow.</w:t>
      </w:r>
    </w:p>
    <w:p w14:paraId="1E8F894B" w14:textId="77777777" w:rsidR="001B490B" w:rsidRPr="0095535F" w:rsidRDefault="001B490B" w:rsidP="00826E7E">
      <w:pPr>
        <w:jc w:val="both"/>
        <w:rPr>
          <w:sz w:val="22"/>
        </w:rPr>
      </w:pPr>
    </w:p>
    <w:tbl>
      <w:tblPr>
        <w:tblStyle w:val="Grilledetableauclaire1"/>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63"/>
        <w:gridCol w:w="1985"/>
        <w:gridCol w:w="1984"/>
        <w:gridCol w:w="993"/>
      </w:tblGrid>
      <w:tr w:rsidR="003D2E0E" w:rsidRPr="00E35233" w14:paraId="6B4DDA0A" w14:textId="77777777" w:rsidTr="003D2E0E">
        <w:trPr>
          <w:jc w:val="center"/>
        </w:trPr>
        <w:tc>
          <w:tcPr>
            <w:tcW w:w="2263" w:type="dxa"/>
            <w:tcBorders>
              <w:top w:val="single" w:sz="4" w:space="0" w:color="auto"/>
              <w:bottom w:val="single" w:sz="4" w:space="0" w:color="auto"/>
              <w:right w:val="single" w:sz="4" w:space="0" w:color="auto"/>
            </w:tcBorders>
            <w:shd w:val="clear" w:color="auto" w:fill="CAC4BF" w:themeFill="background2" w:themeFillTint="66"/>
            <w:vAlign w:val="center"/>
          </w:tcPr>
          <w:p w14:paraId="2C4BC844" w14:textId="69106BB0" w:rsidR="00094096" w:rsidRPr="00E35233" w:rsidRDefault="00094096" w:rsidP="005F6F4F">
            <w:pPr>
              <w:spacing w:line="276" w:lineRule="auto"/>
              <w:jc w:val="center"/>
              <w:rPr>
                <w:b/>
              </w:rPr>
            </w:pPr>
            <w:r>
              <w:rPr>
                <w:b/>
              </w:rPr>
              <w:t>In €M</w:t>
            </w:r>
          </w:p>
        </w:tc>
        <w:tc>
          <w:tcPr>
            <w:tcW w:w="1985" w:type="dxa"/>
            <w:tcBorders>
              <w:top w:val="single" w:sz="4" w:space="0" w:color="auto"/>
              <w:left w:val="single" w:sz="4" w:space="0" w:color="auto"/>
              <w:bottom w:val="single" w:sz="4" w:space="0" w:color="auto"/>
              <w:right w:val="single" w:sz="4" w:space="0" w:color="auto"/>
            </w:tcBorders>
            <w:shd w:val="clear" w:color="auto" w:fill="CAC4BF" w:themeFill="background2" w:themeFillTint="66"/>
            <w:vAlign w:val="center"/>
          </w:tcPr>
          <w:p w14:paraId="724EA580" w14:textId="32372310" w:rsidR="00094096" w:rsidRPr="00E35233" w:rsidRDefault="00094096" w:rsidP="00BB1DA3">
            <w:pPr>
              <w:spacing w:line="276" w:lineRule="auto"/>
              <w:jc w:val="both"/>
              <w:rPr>
                <w:b/>
              </w:rPr>
            </w:pPr>
            <w:r>
              <w:rPr>
                <w:b/>
              </w:rPr>
              <w:t>31 December 2017</w:t>
            </w:r>
          </w:p>
        </w:tc>
        <w:tc>
          <w:tcPr>
            <w:tcW w:w="1984" w:type="dxa"/>
            <w:tcBorders>
              <w:top w:val="single" w:sz="4" w:space="0" w:color="auto"/>
              <w:left w:val="single" w:sz="4" w:space="0" w:color="auto"/>
              <w:bottom w:val="single" w:sz="4" w:space="0" w:color="auto"/>
              <w:right w:val="single" w:sz="4" w:space="0" w:color="auto"/>
            </w:tcBorders>
            <w:shd w:val="clear" w:color="auto" w:fill="CAC4BF" w:themeFill="background2" w:themeFillTint="66"/>
            <w:vAlign w:val="center"/>
          </w:tcPr>
          <w:p w14:paraId="4E3026AC" w14:textId="7FC15B9A" w:rsidR="00094096" w:rsidRPr="00E35233" w:rsidRDefault="00094096" w:rsidP="00BB1DA3">
            <w:pPr>
              <w:spacing w:line="276" w:lineRule="auto"/>
              <w:jc w:val="both"/>
              <w:rPr>
                <w:b/>
              </w:rPr>
            </w:pPr>
            <w:r>
              <w:rPr>
                <w:b/>
              </w:rPr>
              <w:t>31 December 2018</w:t>
            </w:r>
          </w:p>
        </w:tc>
        <w:tc>
          <w:tcPr>
            <w:tcW w:w="993" w:type="dxa"/>
            <w:tcBorders>
              <w:top w:val="single" w:sz="4" w:space="0" w:color="auto"/>
              <w:left w:val="single" w:sz="4" w:space="0" w:color="auto"/>
              <w:bottom w:val="single" w:sz="4" w:space="0" w:color="auto"/>
            </w:tcBorders>
            <w:shd w:val="clear" w:color="auto" w:fill="CAC4BF" w:themeFill="background2" w:themeFillTint="66"/>
            <w:vAlign w:val="center"/>
          </w:tcPr>
          <w:p w14:paraId="28486209" w14:textId="77777777" w:rsidR="00094096" w:rsidRPr="00E35233" w:rsidRDefault="00094096" w:rsidP="00BB1DA3">
            <w:pPr>
              <w:spacing w:line="276" w:lineRule="auto"/>
              <w:jc w:val="both"/>
              <w:rPr>
                <w:b/>
              </w:rPr>
            </w:pPr>
          </w:p>
        </w:tc>
      </w:tr>
      <w:tr w:rsidR="00094096" w:rsidRPr="00E35233" w14:paraId="2E1C9C47" w14:textId="77777777" w:rsidTr="00E35233">
        <w:trPr>
          <w:jc w:val="center"/>
        </w:trPr>
        <w:tc>
          <w:tcPr>
            <w:tcW w:w="2263" w:type="dxa"/>
            <w:tcBorders>
              <w:top w:val="single" w:sz="4" w:space="0" w:color="auto"/>
              <w:bottom w:val="single" w:sz="4" w:space="0" w:color="BFBFBF" w:themeColor="background1" w:themeShade="BF"/>
              <w:right w:val="single" w:sz="4" w:space="0" w:color="auto"/>
            </w:tcBorders>
            <w:vAlign w:val="center"/>
          </w:tcPr>
          <w:p w14:paraId="24B2ACD1" w14:textId="58CD3CB0" w:rsidR="00094096" w:rsidRPr="00E35233" w:rsidRDefault="00094096" w:rsidP="00BB1DA3">
            <w:pPr>
              <w:spacing w:line="276" w:lineRule="auto"/>
              <w:jc w:val="both"/>
            </w:pPr>
            <w:r>
              <w:t>Turnover</w:t>
            </w:r>
          </w:p>
        </w:tc>
        <w:tc>
          <w:tcPr>
            <w:tcW w:w="1985" w:type="dxa"/>
            <w:tcBorders>
              <w:top w:val="single" w:sz="4" w:space="0" w:color="auto"/>
              <w:left w:val="single" w:sz="4" w:space="0" w:color="auto"/>
              <w:bottom w:val="single" w:sz="4" w:space="0" w:color="BFBFBF" w:themeColor="background1" w:themeShade="BF"/>
              <w:right w:val="single" w:sz="4" w:space="0" w:color="auto"/>
            </w:tcBorders>
            <w:vAlign w:val="center"/>
          </w:tcPr>
          <w:p w14:paraId="759C9913" w14:textId="3152B52C" w:rsidR="00094096" w:rsidRPr="00E35233" w:rsidRDefault="00094096" w:rsidP="00BB1DA3">
            <w:pPr>
              <w:spacing w:line="276" w:lineRule="auto"/>
              <w:jc w:val="both"/>
            </w:pPr>
            <w:r>
              <w:t>5,399</w:t>
            </w:r>
          </w:p>
        </w:tc>
        <w:tc>
          <w:tcPr>
            <w:tcW w:w="1984" w:type="dxa"/>
            <w:tcBorders>
              <w:top w:val="single" w:sz="4" w:space="0" w:color="auto"/>
              <w:left w:val="single" w:sz="4" w:space="0" w:color="auto"/>
              <w:bottom w:val="single" w:sz="4" w:space="0" w:color="BFBFBF" w:themeColor="background1" w:themeShade="BF"/>
              <w:right w:val="single" w:sz="4" w:space="0" w:color="auto"/>
            </w:tcBorders>
            <w:vAlign w:val="center"/>
          </w:tcPr>
          <w:p w14:paraId="13A9753A" w14:textId="591C0338" w:rsidR="00094096" w:rsidRPr="003A7599" w:rsidRDefault="00094096" w:rsidP="00BB1DA3">
            <w:pPr>
              <w:spacing w:line="276" w:lineRule="auto"/>
              <w:jc w:val="both"/>
              <w:rPr>
                <w:b/>
              </w:rPr>
            </w:pPr>
            <w:r>
              <w:rPr>
                <w:b/>
              </w:rPr>
              <w:t>5,934</w:t>
            </w:r>
          </w:p>
        </w:tc>
        <w:tc>
          <w:tcPr>
            <w:tcW w:w="993" w:type="dxa"/>
            <w:tcBorders>
              <w:top w:val="single" w:sz="4" w:space="0" w:color="auto"/>
              <w:left w:val="single" w:sz="4" w:space="0" w:color="auto"/>
              <w:bottom w:val="single" w:sz="4" w:space="0" w:color="BFBFBF" w:themeColor="background1" w:themeShade="BF"/>
            </w:tcBorders>
            <w:vAlign w:val="center"/>
          </w:tcPr>
          <w:p w14:paraId="6702E758" w14:textId="1A3AC686" w:rsidR="00094096" w:rsidRPr="00E35233" w:rsidRDefault="00C403CA" w:rsidP="00BB1DA3">
            <w:pPr>
              <w:spacing w:line="276" w:lineRule="auto"/>
              <w:jc w:val="both"/>
            </w:pPr>
            <w:r>
              <w:t>+10%</w:t>
            </w:r>
          </w:p>
        </w:tc>
      </w:tr>
      <w:tr w:rsidR="00094096" w:rsidRPr="00E35233" w14:paraId="4A2E0DC3" w14:textId="77777777" w:rsidTr="00E35233">
        <w:trPr>
          <w:jc w:val="center"/>
        </w:trPr>
        <w:tc>
          <w:tcPr>
            <w:tcW w:w="2263" w:type="dxa"/>
            <w:tcBorders>
              <w:top w:val="single" w:sz="4" w:space="0" w:color="BFBFBF" w:themeColor="background1" w:themeShade="BF"/>
              <w:bottom w:val="single" w:sz="4" w:space="0" w:color="BFBFBF" w:themeColor="background1" w:themeShade="BF"/>
              <w:right w:val="single" w:sz="4" w:space="0" w:color="auto"/>
            </w:tcBorders>
            <w:vAlign w:val="center"/>
          </w:tcPr>
          <w:p w14:paraId="46FFB8FE" w14:textId="4A0ACD91" w:rsidR="00094096" w:rsidRPr="00E35233" w:rsidRDefault="00094096" w:rsidP="00BB1DA3">
            <w:pPr>
              <w:spacing w:line="276" w:lineRule="auto"/>
              <w:jc w:val="both"/>
            </w:pPr>
            <w:r>
              <w:t>EBITDA</w:t>
            </w:r>
          </w:p>
        </w:tc>
        <w:tc>
          <w:tcPr>
            <w:tcW w:w="1985"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14:paraId="5B68C1F6" w14:textId="3B858C82" w:rsidR="00094096" w:rsidRPr="00E35233" w:rsidRDefault="00C403CA" w:rsidP="00BB1DA3">
            <w:pPr>
              <w:spacing w:line="276" w:lineRule="auto"/>
              <w:jc w:val="both"/>
            </w:pPr>
            <w:r>
              <w:t>342</w:t>
            </w:r>
          </w:p>
        </w:tc>
        <w:tc>
          <w:tcPr>
            <w:tcW w:w="1984"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14:paraId="5CE5E477" w14:textId="14F7215E" w:rsidR="00094096" w:rsidRPr="003A7599" w:rsidRDefault="00C403CA" w:rsidP="00BB1DA3">
            <w:pPr>
              <w:spacing w:line="276" w:lineRule="auto"/>
              <w:jc w:val="both"/>
              <w:rPr>
                <w:b/>
              </w:rPr>
            </w:pPr>
            <w:r>
              <w:rPr>
                <w:b/>
              </w:rPr>
              <w:t>392</w:t>
            </w:r>
          </w:p>
        </w:tc>
        <w:tc>
          <w:tcPr>
            <w:tcW w:w="993" w:type="dxa"/>
            <w:tcBorders>
              <w:top w:val="single" w:sz="4" w:space="0" w:color="BFBFBF" w:themeColor="background1" w:themeShade="BF"/>
              <w:left w:val="single" w:sz="4" w:space="0" w:color="auto"/>
              <w:bottom w:val="single" w:sz="4" w:space="0" w:color="BFBFBF" w:themeColor="background1" w:themeShade="BF"/>
            </w:tcBorders>
            <w:vAlign w:val="center"/>
          </w:tcPr>
          <w:p w14:paraId="7A7A8ADC" w14:textId="5BDEC630" w:rsidR="00094096" w:rsidRPr="00E35233" w:rsidRDefault="00C403CA">
            <w:pPr>
              <w:spacing w:line="276" w:lineRule="auto"/>
              <w:jc w:val="both"/>
            </w:pPr>
            <w:r>
              <w:t>+15%</w:t>
            </w:r>
          </w:p>
        </w:tc>
      </w:tr>
      <w:tr w:rsidR="00826A44" w:rsidRPr="00E35233" w14:paraId="2EE4535D" w14:textId="77777777" w:rsidTr="00E35233">
        <w:trPr>
          <w:jc w:val="center"/>
        </w:trPr>
        <w:tc>
          <w:tcPr>
            <w:tcW w:w="2263" w:type="dxa"/>
            <w:tcBorders>
              <w:top w:val="single" w:sz="4" w:space="0" w:color="BFBFBF" w:themeColor="background1" w:themeShade="BF"/>
              <w:bottom w:val="single" w:sz="4" w:space="0" w:color="BFBFBF" w:themeColor="background1" w:themeShade="BF"/>
              <w:right w:val="single" w:sz="4" w:space="0" w:color="auto"/>
            </w:tcBorders>
            <w:vAlign w:val="center"/>
          </w:tcPr>
          <w:p w14:paraId="217B01C2" w14:textId="07006605" w:rsidR="00826A44" w:rsidRPr="00E35233" w:rsidRDefault="00826A44" w:rsidP="00BB1DA3">
            <w:pPr>
              <w:spacing w:line="276" w:lineRule="auto"/>
              <w:jc w:val="both"/>
            </w:pPr>
            <w:r>
              <w:t>Operational margin</w:t>
            </w:r>
          </w:p>
        </w:tc>
        <w:tc>
          <w:tcPr>
            <w:tcW w:w="1985"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14:paraId="06FF3DEE" w14:textId="4E177F5C" w:rsidR="00826A44" w:rsidRPr="00E35233" w:rsidRDefault="005218A7" w:rsidP="00BB1DA3">
            <w:pPr>
              <w:spacing w:line="276" w:lineRule="auto"/>
              <w:jc w:val="both"/>
            </w:pPr>
            <w:r>
              <w:t>6.3%</w:t>
            </w:r>
          </w:p>
        </w:tc>
        <w:tc>
          <w:tcPr>
            <w:tcW w:w="1984"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14:paraId="08F78DC2" w14:textId="767DD039" w:rsidR="00826A44" w:rsidRPr="003A7599" w:rsidRDefault="00826A44" w:rsidP="00BB1DA3">
            <w:pPr>
              <w:spacing w:line="276" w:lineRule="auto"/>
              <w:jc w:val="both"/>
              <w:rPr>
                <w:b/>
              </w:rPr>
            </w:pPr>
            <w:r>
              <w:rPr>
                <w:b/>
              </w:rPr>
              <w:t>6.6%</w:t>
            </w:r>
          </w:p>
        </w:tc>
        <w:tc>
          <w:tcPr>
            <w:tcW w:w="993" w:type="dxa"/>
            <w:tcBorders>
              <w:top w:val="single" w:sz="4" w:space="0" w:color="BFBFBF" w:themeColor="background1" w:themeShade="BF"/>
              <w:left w:val="single" w:sz="4" w:space="0" w:color="auto"/>
              <w:bottom w:val="single" w:sz="4" w:space="0" w:color="BFBFBF" w:themeColor="background1" w:themeShade="BF"/>
            </w:tcBorders>
            <w:vAlign w:val="center"/>
          </w:tcPr>
          <w:p w14:paraId="1C060B18" w14:textId="7CAA957A" w:rsidR="00826A44" w:rsidRPr="00E35233" w:rsidRDefault="00826A44" w:rsidP="00C403CA">
            <w:pPr>
              <w:spacing w:line="276" w:lineRule="auto"/>
              <w:jc w:val="both"/>
            </w:pPr>
            <w:r>
              <w:t>NA</w:t>
            </w:r>
          </w:p>
        </w:tc>
      </w:tr>
      <w:tr w:rsidR="00094096" w:rsidRPr="00E35233" w14:paraId="31931774" w14:textId="77777777" w:rsidTr="00E35233">
        <w:trPr>
          <w:jc w:val="center"/>
        </w:trPr>
        <w:tc>
          <w:tcPr>
            <w:tcW w:w="2263" w:type="dxa"/>
            <w:tcBorders>
              <w:top w:val="single" w:sz="4" w:space="0" w:color="BFBFBF" w:themeColor="background1" w:themeShade="BF"/>
              <w:bottom w:val="single" w:sz="4" w:space="0" w:color="BFBFBF" w:themeColor="background1" w:themeShade="BF"/>
              <w:right w:val="single" w:sz="4" w:space="0" w:color="auto"/>
            </w:tcBorders>
            <w:vAlign w:val="center"/>
          </w:tcPr>
          <w:p w14:paraId="2A5233CE" w14:textId="446EDA8F" w:rsidR="00094096" w:rsidRPr="00E35233" w:rsidRDefault="00094096" w:rsidP="00BB1DA3">
            <w:pPr>
              <w:spacing w:line="276" w:lineRule="auto"/>
              <w:jc w:val="both"/>
            </w:pPr>
            <w:r>
              <w:t>Recurring net profit Group share</w:t>
            </w:r>
          </w:p>
        </w:tc>
        <w:tc>
          <w:tcPr>
            <w:tcW w:w="1985"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14:paraId="2E9A41B3" w14:textId="2B572446" w:rsidR="00094096" w:rsidRPr="00E35233" w:rsidRDefault="00C403CA" w:rsidP="00BB1DA3">
            <w:pPr>
              <w:spacing w:line="276" w:lineRule="auto"/>
              <w:jc w:val="both"/>
            </w:pPr>
            <w:r>
              <w:t>83</w:t>
            </w:r>
          </w:p>
        </w:tc>
        <w:tc>
          <w:tcPr>
            <w:tcW w:w="1984"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14:paraId="6ED73E06" w14:textId="49175B75" w:rsidR="00094096" w:rsidRPr="003A7599" w:rsidRDefault="00615757" w:rsidP="00BB1DA3">
            <w:pPr>
              <w:spacing w:line="276" w:lineRule="auto"/>
              <w:jc w:val="both"/>
              <w:rPr>
                <w:b/>
              </w:rPr>
            </w:pPr>
            <w:r>
              <w:rPr>
                <w:b/>
              </w:rPr>
              <w:t>79</w:t>
            </w:r>
          </w:p>
        </w:tc>
        <w:tc>
          <w:tcPr>
            <w:tcW w:w="993" w:type="dxa"/>
            <w:tcBorders>
              <w:top w:val="single" w:sz="4" w:space="0" w:color="BFBFBF" w:themeColor="background1" w:themeShade="BF"/>
              <w:left w:val="single" w:sz="4" w:space="0" w:color="auto"/>
              <w:bottom w:val="single" w:sz="4" w:space="0" w:color="BFBFBF" w:themeColor="background1" w:themeShade="BF"/>
            </w:tcBorders>
            <w:vAlign w:val="center"/>
          </w:tcPr>
          <w:p w14:paraId="52736FC1" w14:textId="0C661288" w:rsidR="00094096" w:rsidRPr="00E35233" w:rsidRDefault="00C403CA" w:rsidP="00C403CA">
            <w:pPr>
              <w:spacing w:line="276" w:lineRule="auto"/>
              <w:jc w:val="both"/>
            </w:pPr>
            <w:r>
              <w:t>-</w:t>
            </w:r>
            <w:r w:rsidR="001B490B">
              <w:t>5.6</w:t>
            </w:r>
            <w:r>
              <w:t>%</w:t>
            </w:r>
          </w:p>
        </w:tc>
      </w:tr>
      <w:tr w:rsidR="00094096" w:rsidRPr="00E35233" w14:paraId="2200A42B" w14:textId="77777777" w:rsidTr="00E35233">
        <w:trPr>
          <w:jc w:val="center"/>
        </w:trPr>
        <w:tc>
          <w:tcPr>
            <w:tcW w:w="2263" w:type="dxa"/>
            <w:tcBorders>
              <w:top w:val="single" w:sz="4" w:space="0" w:color="BFBFBF" w:themeColor="background1" w:themeShade="BF"/>
              <w:bottom w:val="single" w:sz="4" w:space="0" w:color="BFBFBF" w:themeColor="background1" w:themeShade="BF"/>
              <w:right w:val="single" w:sz="4" w:space="0" w:color="auto"/>
            </w:tcBorders>
            <w:vAlign w:val="center"/>
          </w:tcPr>
          <w:p w14:paraId="1AA41AB9" w14:textId="11B719D5" w:rsidR="00094096" w:rsidRPr="00E35233" w:rsidRDefault="000A2998" w:rsidP="00BB1DA3">
            <w:pPr>
              <w:spacing w:line="276" w:lineRule="auto"/>
              <w:jc w:val="both"/>
            </w:pPr>
            <w:r>
              <w:t>Free cash flow</w:t>
            </w:r>
          </w:p>
        </w:tc>
        <w:tc>
          <w:tcPr>
            <w:tcW w:w="1985"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14:paraId="24A1F743" w14:textId="78F3FA85" w:rsidR="00094096" w:rsidRPr="00E35233" w:rsidRDefault="00C403CA" w:rsidP="00C403CA">
            <w:pPr>
              <w:spacing w:line="276" w:lineRule="auto"/>
              <w:jc w:val="both"/>
            </w:pPr>
            <w:r>
              <w:t>-62</w:t>
            </w:r>
          </w:p>
        </w:tc>
        <w:tc>
          <w:tcPr>
            <w:tcW w:w="1984"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14:paraId="749786D3" w14:textId="44523A66" w:rsidR="00094096" w:rsidRPr="003A7599" w:rsidRDefault="00C403CA" w:rsidP="00BB1DA3">
            <w:pPr>
              <w:spacing w:line="276" w:lineRule="auto"/>
              <w:jc w:val="both"/>
              <w:rPr>
                <w:b/>
              </w:rPr>
            </w:pPr>
            <w:r>
              <w:rPr>
                <w:b/>
              </w:rPr>
              <w:t>107</w:t>
            </w:r>
          </w:p>
        </w:tc>
        <w:tc>
          <w:tcPr>
            <w:tcW w:w="993" w:type="dxa"/>
            <w:tcBorders>
              <w:top w:val="single" w:sz="4" w:space="0" w:color="BFBFBF" w:themeColor="background1" w:themeShade="BF"/>
              <w:left w:val="single" w:sz="4" w:space="0" w:color="auto"/>
              <w:bottom w:val="single" w:sz="4" w:space="0" w:color="BFBFBF" w:themeColor="background1" w:themeShade="BF"/>
            </w:tcBorders>
            <w:vAlign w:val="center"/>
          </w:tcPr>
          <w:p w14:paraId="741C4369" w14:textId="3FFA90B1" w:rsidR="00094096" w:rsidRPr="00E35233" w:rsidRDefault="00C403CA" w:rsidP="00BB1DA3">
            <w:pPr>
              <w:spacing w:line="276" w:lineRule="auto"/>
              <w:jc w:val="both"/>
            </w:pPr>
            <w:r>
              <w:t>NA</w:t>
            </w:r>
          </w:p>
        </w:tc>
      </w:tr>
      <w:tr w:rsidR="00094096" w:rsidRPr="00E35233" w14:paraId="443D4215" w14:textId="77777777" w:rsidTr="00A651FF">
        <w:trPr>
          <w:jc w:val="center"/>
        </w:trPr>
        <w:tc>
          <w:tcPr>
            <w:tcW w:w="2263" w:type="dxa"/>
            <w:tcBorders>
              <w:top w:val="single" w:sz="4" w:space="0" w:color="BFBFBF" w:themeColor="background1" w:themeShade="BF"/>
              <w:bottom w:val="single" w:sz="4" w:space="0" w:color="BFBFBF" w:themeColor="background1" w:themeShade="BF"/>
              <w:right w:val="single" w:sz="4" w:space="0" w:color="auto"/>
            </w:tcBorders>
            <w:vAlign w:val="center"/>
          </w:tcPr>
          <w:p w14:paraId="0DA6C3F7" w14:textId="2A9115F6" w:rsidR="00094096" w:rsidRPr="00E35233" w:rsidRDefault="00094096" w:rsidP="00BB1DA3">
            <w:pPr>
              <w:spacing w:line="276" w:lineRule="auto"/>
              <w:jc w:val="both"/>
            </w:pPr>
            <w:r>
              <w:t>Net debt</w:t>
            </w:r>
          </w:p>
        </w:tc>
        <w:tc>
          <w:tcPr>
            <w:tcW w:w="1985"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14:paraId="51B89300" w14:textId="3B6416D1" w:rsidR="00094096" w:rsidRPr="00E35233" w:rsidRDefault="00C403CA" w:rsidP="00BB1DA3">
            <w:pPr>
              <w:spacing w:line="276" w:lineRule="auto"/>
              <w:jc w:val="both"/>
            </w:pPr>
            <w:r>
              <w:t>1,011</w:t>
            </w:r>
          </w:p>
        </w:tc>
        <w:tc>
          <w:tcPr>
            <w:tcW w:w="1984"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14:paraId="30EC50A6" w14:textId="2F9E93EF" w:rsidR="00094096" w:rsidRPr="003A7599" w:rsidRDefault="00C403CA" w:rsidP="00BB1DA3">
            <w:pPr>
              <w:spacing w:line="276" w:lineRule="auto"/>
              <w:jc w:val="both"/>
              <w:rPr>
                <w:b/>
              </w:rPr>
            </w:pPr>
            <w:r>
              <w:rPr>
                <w:b/>
              </w:rPr>
              <w:t>982</w:t>
            </w:r>
          </w:p>
        </w:tc>
        <w:tc>
          <w:tcPr>
            <w:tcW w:w="993" w:type="dxa"/>
            <w:tcBorders>
              <w:top w:val="single" w:sz="4" w:space="0" w:color="BFBFBF" w:themeColor="background1" w:themeShade="BF"/>
              <w:left w:val="single" w:sz="4" w:space="0" w:color="auto"/>
              <w:bottom w:val="single" w:sz="4" w:space="0" w:color="BFBFBF" w:themeColor="background1" w:themeShade="BF"/>
            </w:tcBorders>
            <w:vAlign w:val="center"/>
          </w:tcPr>
          <w:p w14:paraId="74DECE7D" w14:textId="42DEC6E4" w:rsidR="00094096" w:rsidRPr="00E35233" w:rsidRDefault="00C403CA" w:rsidP="00BB1DA3">
            <w:pPr>
              <w:spacing w:line="276" w:lineRule="auto"/>
              <w:jc w:val="both"/>
            </w:pPr>
            <w:r>
              <w:t>-2.9%</w:t>
            </w:r>
          </w:p>
        </w:tc>
      </w:tr>
      <w:tr w:rsidR="00A651FF" w:rsidRPr="00E35233" w14:paraId="31FEADF0" w14:textId="77777777" w:rsidTr="00E35233">
        <w:trPr>
          <w:jc w:val="center"/>
        </w:trPr>
        <w:tc>
          <w:tcPr>
            <w:tcW w:w="2263" w:type="dxa"/>
            <w:tcBorders>
              <w:top w:val="single" w:sz="4" w:space="0" w:color="BFBFBF" w:themeColor="background1" w:themeShade="BF"/>
              <w:bottom w:val="single" w:sz="4" w:space="0" w:color="auto"/>
              <w:right w:val="single" w:sz="4" w:space="0" w:color="auto"/>
            </w:tcBorders>
            <w:vAlign w:val="center"/>
          </w:tcPr>
          <w:p w14:paraId="1DCA7AB3" w14:textId="529F25D9" w:rsidR="00A651FF" w:rsidRPr="00E35233" w:rsidRDefault="00A651FF" w:rsidP="00BB1DA3">
            <w:pPr>
              <w:spacing w:line="276" w:lineRule="auto"/>
              <w:jc w:val="both"/>
            </w:pPr>
            <w:r>
              <w:t>Debt lever</w:t>
            </w:r>
          </w:p>
        </w:tc>
        <w:tc>
          <w:tcPr>
            <w:tcW w:w="1985" w:type="dxa"/>
            <w:tcBorders>
              <w:top w:val="single" w:sz="4" w:space="0" w:color="BFBFBF" w:themeColor="background1" w:themeShade="BF"/>
              <w:left w:val="single" w:sz="4" w:space="0" w:color="auto"/>
              <w:bottom w:val="single" w:sz="4" w:space="0" w:color="auto"/>
              <w:right w:val="single" w:sz="4" w:space="0" w:color="auto"/>
            </w:tcBorders>
            <w:vAlign w:val="center"/>
          </w:tcPr>
          <w:p w14:paraId="7BD1DE58" w14:textId="1B818E2E" w:rsidR="00A651FF" w:rsidRPr="00E35233" w:rsidRDefault="009F4B57" w:rsidP="00BB1DA3">
            <w:pPr>
              <w:spacing w:line="276" w:lineRule="auto"/>
              <w:jc w:val="both"/>
            </w:pPr>
            <w:r>
              <w:t>2.4x</w:t>
            </w:r>
          </w:p>
        </w:tc>
        <w:tc>
          <w:tcPr>
            <w:tcW w:w="1984" w:type="dxa"/>
            <w:tcBorders>
              <w:top w:val="single" w:sz="4" w:space="0" w:color="BFBFBF" w:themeColor="background1" w:themeShade="BF"/>
              <w:left w:val="single" w:sz="4" w:space="0" w:color="auto"/>
              <w:bottom w:val="single" w:sz="4" w:space="0" w:color="auto"/>
              <w:right w:val="single" w:sz="4" w:space="0" w:color="auto"/>
            </w:tcBorders>
            <w:vAlign w:val="center"/>
          </w:tcPr>
          <w:p w14:paraId="3D4BD473" w14:textId="2CD3E1C4" w:rsidR="00A651FF" w:rsidRPr="003A7599" w:rsidRDefault="009F4B57" w:rsidP="00BB1DA3">
            <w:pPr>
              <w:spacing w:line="276" w:lineRule="auto"/>
              <w:jc w:val="both"/>
              <w:rPr>
                <w:b/>
              </w:rPr>
            </w:pPr>
            <w:r>
              <w:rPr>
                <w:b/>
              </w:rPr>
              <w:t>2.2x</w:t>
            </w:r>
          </w:p>
        </w:tc>
        <w:tc>
          <w:tcPr>
            <w:tcW w:w="993" w:type="dxa"/>
            <w:tcBorders>
              <w:top w:val="single" w:sz="4" w:space="0" w:color="BFBFBF" w:themeColor="background1" w:themeShade="BF"/>
              <w:left w:val="single" w:sz="4" w:space="0" w:color="auto"/>
              <w:bottom w:val="single" w:sz="4" w:space="0" w:color="auto"/>
            </w:tcBorders>
            <w:vAlign w:val="center"/>
          </w:tcPr>
          <w:p w14:paraId="21220AA2" w14:textId="12175C30" w:rsidR="00A651FF" w:rsidRPr="00E35233" w:rsidRDefault="004E1E18" w:rsidP="004E1E18">
            <w:pPr>
              <w:spacing w:line="276" w:lineRule="auto"/>
              <w:jc w:val="both"/>
            </w:pPr>
            <w:r>
              <w:t>-0.2x</w:t>
            </w:r>
          </w:p>
        </w:tc>
      </w:tr>
    </w:tbl>
    <w:p w14:paraId="76BEB96A" w14:textId="77777777" w:rsidR="002F399F" w:rsidRDefault="002F399F" w:rsidP="00BB1DA3">
      <w:pPr>
        <w:spacing w:line="276" w:lineRule="auto"/>
        <w:jc w:val="both"/>
        <w:rPr>
          <w:sz w:val="24"/>
        </w:rPr>
      </w:pPr>
    </w:p>
    <w:p w14:paraId="4B24BC4C" w14:textId="77777777" w:rsidR="003B365A" w:rsidRDefault="003B365A" w:rsidP="00BB1DA3">
      <w:pPr>
        <w:spacing w:line="276" w:lineRule="auto"/>
        <w:jc w:val="both"/>
        <w:rPr>
          <w:sz w:val="24"/>
        </w:rPr>
      </w:pPr>
    </w:p>
    <w:p w14:paraId="4B5E5141" w14:textId="32E0EE2D" w:rsidR="000C2926" w:rsidRPr="00E6494D" w:rsidRDefault="000C2926" w:rsidP="000C2926">
      <w:pPr>
        <w:spacing w:line="276" w:lineRule="auto"/>
        <w:jc w:val="both"/>
        <w:rPr>
          <w:rFonts w:asciiTheme="majorHAnsi" w:eastAsiaTheme="majorEastAsia" w:hAnsiTheme="majorHAnsi" w:cstheme="majorBidi"/>
          <w:b/>
          <w:bCs/>
          <w:color w:val="00AAC3" w:themeColor="text2"/>
          <w:sz w:val="26"/>
          <w:szCs w:val="26"/>
        </w:rPr>
      </w:pPr>
      <w:r>
        <w:rPr>
          <w:rFonts w:asciiTheme="majorHAnsi" w:hAnsiTheme="majorHAnsi"/>
          <w:b/>
          <w:bCs/>
          <w:color w:val="00AAC3" w:themeColor="text2"/>
          <w:sz w:val="26"/>
          <w:szCs w:val="26"/>
        </w:rPr>
        <w:t>A very good year for sales in France</w:t>
      </w:r>
    </w:p>
    <w:p w14:paraId="2E6A10D2" w14:textId="77777777" w:rsidR="00D9636F" w:rsidRPr="00442606" w:rsidRDefault="00D9636F" w:rsidP="000C2926">
      <w:pPr>
        <w:spacing w:line="276" w:lineRule="auto"/>
        <w:jc w:val="both"/>
        <w:rPr>
          <w:sz w:val="10"/>
          <w:szCs w:val="10"/>
        </w:rPr>
      </w:pPr>
    </w:p>
    <w:p w14:paraId="47EA32A2" w14:textId="384BBBB2" w:rsidR="005A1C29" w:rsidRPr="001F7748" w:rsidRDefault="000314B9" w:rsidP="000C2926">
      <w:pPr>
        <w:spacing w:line="276" w:lineRule="auto"/>
        <w:jc w:val="both"/>
        <w:rPr>
          <w:b/>
          <w:sz w:val="22"/>
        </w:rPr>
      </w:pPr>
      <w:r>
        <w:rPr>
          <w:b/>
          <w:sz w:val="22"/>
        </w:rPr>
        <w:lastRenderedPageBreak/>
        <w:t xml:space="preserve">2018 was </w:t>
      </w:r>
      <w:r w:rsidR="00E0632F">
        <w:rPr>
          <w:b/>
          <w:sz w:val="22"/>
        </w:rPr>
        <w:t xml:space="preserve">characterized by multiple </w:t>
      </w:r>
      <w:r>
        <w:rPr>
          <w:b/>
          <w:sz w:val="22"/>
        </w:rPr>
        <w:t>invitations to tender</w:t>
      </w:r>
      <w:r w:rsidR="00E0632F">
        <w:rPr>
          <w:b/>
          <w:sz w:val="22"/>
        </w:rPr>
        <w:t xml:space="preserve"> and</w:t>
      </w:r>
      <w:r>
        <w:rPr>
          <w:b/>
          <w:sz w:val="22"/>
        </w:rPr>
        <w:t xml:space="preserve"> punctuated with commercial successes in an increasingly competitive context. </w:t>
      </w:r>
      <w:r w:rsidR="00E0632F">
        <w:rPr>
          <w:b/>
          <w:sz w:val="22"/>
        </w:rPr>
        <w:t xml:space="preserve">Both defensive and offensive contract awards in 2018 demonstrate the group’s capacity to maintain and acquire relationships of confidence with </w:t>
      </w:r>
      <w:r>
        <w:rPr>
          <w:b/>
          <w:sz w:val="22"/>
        </w:rPr>
        <w:t>public transport authorities.</w:t>
      </w:r>
    </w:p>
    <w:p w14:paraId="2055256E" w14:textId="77777777" w:rsidR="001F7748" w:rsidRDefault="001F7748" w:rsidP="000C2926">
      <w:pPr>
        <w:spacing w:line="276" w:lineRule="auto"/>
        <w:jc w:val="both"/>
        <w:rPr>
          <w:sz w:val="22"/>
        </w:rPr>
      </w:pPr>
    </w:p>
    <w:p w14:paraId="372C56A4" w14:textId="16D24579" w:rsidR="000314B9" w:rsidRPr="00A54B2C" w:rsidRDefault="00E0632F" w:rsidP="000C2926">
      <w:pPr>
        <w:spacing w:line="276" w:lineRule="auto"/>
        <w:jc w:val="both"/>
        <w:rPr>
          <w:sz w:val="22"/>
        </w:rPr>
      </w:pPr>
      <w:r>
        <w:rPr>
          <w:sz w:val="22"/>
        </w:rPr>
        <w:t xml:space="preserve">In 2018, </w:t>
      </w:r>
      <w:r w:rsidR="00173078">
        <w:rPr>
          <w:sz w:val="22"/>
        </w:rPr>
        <w:t xml:space="preserve">Keolis </w:t>
      </w:r>
      <w:r w:rsidR="00173078">
        <w:rPr>
          <w:b/>
          <w:sz w:val="22"/>
        </w:rPr>
        <w:t>consolidate</w:t>
      </w:r>
      <w:r>
        <w:rPr>
          <w:b/>
          <w:sz w:val="22"/>
        </w:rPr>
        <w:t>d</w:t>
      </w:r>
      <w:r w:rsidR="00173078">
        <w:rPr>
          <w:b/>
          <w:sz w:val="22"/>
        </w:rPr>
        <w:t xml:space="preserve"> its leadership on the open French market</w:t>
      </w:r>
      <w:r w:rsidR="00173078">
        <w:rPr>
          <w:sz w:val="22"/>
        </w:rPr>
        <w:t xml:space="preserve"> and </w:t>
      </w:r>
      <w:r w:rsidR="00173078">
        <w:rPr>
          <w:color w:val="000000" w:themeColor="text1"/>
          <w:sz w:val="22"/>
        </w:rPr>
        <w:t>confirm</w:t>
      </w:r>
      <w:r>
        <w:rPr>
          <w:color w:val="000000" w:themeColor="text1"/>
          <w:sz w:val="22"/>
        </w:rPr>
        <w:t>ed</w:t>
      </w:r>
      <w:r w:rsidR="00173078">
        <w:rPr>
          <w:color w:val="000000" w:themeColor="text1"/>
          <w:sz w:val="22"/>
        </w:rPr>
        <w:t xml:space="preserve"> its ambition to be the number one partner </w:t>
      </w:r>
      <w:r>
        <w:rPr>
          <w:color w:val="000000" w:themeColor="text1"/>
          <w:sz w:val="22"/>
        </w:rPr>
        <w:t xml:space="preserve">of </w:t>
      </w:r>
      <w:r w:rsidR="00173078">
        <w:rPr>
          <w:color w:val="000000" w:themeColor="text1"/>
          <w:sz w:val="22"/>
        </w:rPr>
        <w:t xml:space="preserve">public authorities, </w:t>
      </w:r>
      <w:r>
        <w:rPr>
          <w:color w:val="000000" w:themeColor="text1"/>
          <w:sz w:val="22"/>
        </w:rPr>
        <w:t xml:space="preserve">assisting </w:t>
      </w:r>
      <w:r w:rsidR="00173078">
        <w:rPr>
          <w:color w:val="000000" w:themeColor="text1"/>
          <w:sz w:val="22"/>
        </w:rPr>
        <w:t xml:space="preserve">them </w:t>
      </w:r>
      <w:r>
        <w:rPr>
          <w:color w:val="000000" w:themeColor="text1"/>
          <w:sz w:val="22"/>
        </w:rPr>
        <w:t xml:space="preserve">in their own transformational </w:t>
      </w:r>
      <w:r w:rsidR="00915F54">
        <w:rPr>
          <w:color w:val="000000" w:themeColor="text1"/>
          <w:sz w:val="22"/>
        </w:rPr>
        <w:t xml:space="preserve">challenges. </w:t>
      </w:r>
      <w:r w:rsidR="00173078">
        <w:rPr>
          <w:sz w:val="22"/>
        </w:rPr>
        <w:t xml:space="preserve"> </w:t>
      </w:r>
    </w:p>
    <w:p w14:paraId="62DEEED5" w14:textId="77777777" w:rsidR="00F52E6A" w:rsidRDefault="00F52E6A" w:rsidP="00002258">
      <w:pPr>
        <w:spacing w:line="276" w:lineRule="auto"/>
        <w:jc w:val="both"/>
        <w:rPr>
          <w:i/>
          <w:color w:val="007F92" w:themeColor="text2" w:themeShade="BF"/>
          <w:sz w:val="24"/>
        </w:rPr>
      </w:pPr>
    </w:p>
    <w:p w14:paraId="7D7C74AC" w14:textId="47C4C5A4" w:rsidR="00002258" w:rsidRPr="00663229" w:rsidRDefault="00002258" w:rsidP="00002258">
      <w:pPr>
        <w:spacing w:line="276" w:lineRule="auto"/>
        <w:jc w:val="both"/>
        <w:rPr>
          <w:b/>
          <w:sz w:val="10"/>
          <w:szCs w:val="10"/>
        </w:rPr>
      </w:pPr>
      <w:r>
        <w:rPr>
          <w:i/>
          <w:color w:val="007F92" w:themeColor="text2" w:themeShade="BF"/>
          <w:sz w:val="24"/>
        </w:rPr>
        <w:t xml:space="preserve">Excellent trend in urban sales </w:t>
      </w:r>
      <w:r w:rsidRPr="009B7AB4">
        <w:rPr>
          <w:i/>
          <w:color w:val="007F92" w:themeColor="text2" w:themeShade="BF"/>
          <w:sz w:val="24"/>
        </w:rPr>
        <w:t>income</w:t>
      </w:r>
    </w:p>
    <w:p w14:paraId="2A94DEC6" w14:textId="77777777" w:rsidR="00002258" w:rsidRPr="007D1150" w:rsidRDefault="00002258" w:rsidP="00002258">
      <w:pPr>
        <w:spacing w:line="276" w:lineRule="auto"/>
        <w:jc w:val="both"/>
        <w:rPr>
          <w:b/>
          <w:color w:val="FF6600"/>
          <w:sz w:val="10"/>
        </w:rPr>
      </w:pPr>
    </w:p>
    <w:p w14:paraId="2C33282C" w14:textId="4D43A2A2" w:rsidR="00002258" w:rsidRPr="00AB3EF9" w:rsidRDefault="00002258" w:rsidP="00002258">
      <w:pPr>
        <w:spacing w:line="276" w:lineRule="auto"/>
        <w:jc w:val="both"/>
        <w:rPr>
          <w:sz w:val="22"/>
        </w:rPr>
      </w:pPr>
      <w:r w:rsidRPr="004A51B0">
        <w:rPr>
          <w:sz w:val="22"/>
        </w:rPr>
        <w:t xml:space="preserve">In 2018, Keolis recorded a </w:t>
      </w:r>
      <w:r w:rsidRPr="004A51B0">
        <w:rPr>
          <w:b/>
          <w:sz w:val="22"/>
        </w:rPr>
        <w:t xml:space="preserve">strong increase </w:t>
      </w:r>
      <w:r w:rsidR="00915F54" w:rsidRPr="004A51B0">
        <w:rPr>
          <w:b/>
          <w:sz w:val="22"/>
        </w:rPr>
        <w:t>of 5.3% in commercial revenues</w:t>
      </w:r>
      <w:r w:rsidR="00915F54">
        <w:rPr>
          <w:b/>
          <w:sz w:val="22"/>
        </w:rPr>
        <w:t xml:space="preserve"> </w:t>
      </w:r>
      <w:r>
        <w:rPr>
          <w:sz w:val="22"/>
        </w:rPr>
        <w:t>within its 15 largest urban networks, which account for more than 95% of traffic</w:t>
      </w:r>
      <w:r w:rsidR="00920E2D">
        <w:rPr>
          <w:sz w:val="22"/>
        </w:rPr>
        <w:t>.</w:t>
      </w:r>
      <w:r w:rsidR="00915F54">
        <w:rPr>
          <w:sz w:val="22"/>
        </w:rPr>
        <w:t xml:space="preserve"> This is coupled </w:t>
      </w:r>
      <w:r w:rsidR="002F5518" w:rsidRPr="00920E2D">
        <w:rPr>
          <w:sz w:val="22"/>
        </w:rPr>
        <w:t>with</w:t>
      </w:r>
      <w:r>
        <w:rPr>
          <w:sz w:val="22"/>
        </w:rPr>
        <w:t xml:space="preserve"> a </w:t>
      </w:r>
      <w:r w:rsidR="001B490B">
        <w:rPr>
          <w:sz w:val="22"/>
        </w:rPr>
        <w:t>+</w:t>
      </w:r>
      <w:r>
        <w:rPr>
          <w:b/>
          <w:bCs/>
          <w:sz w:val="22"/>
        </w:rPr>
        <w:t>3.2%</w:t>
      </w:r>
      <w:r>
        <w:rPr>
          <w:sz w:val="22"/>
        </w:rPr>
        <w:t xml:space="preserve"> increase in the number of passengers</w:t>
      </w:r>
      <w:r>
        <w:rPr>
          <w:b/>
          <w:sz w:val="22"/>
        </w:rPr>
        <w:t>.</w:t>
      </w:r>
      <w:r>
        <w:rPr>
          <w:sz w:val="22"/>
        </w:rPr>
        <w:t xml:space="preserve"> </w:t>
      </w:r>
    </w:p>
    <w:p w14:paraId="4198FC72" w14:textId="6F508921" w:rsidR="00002258" w:rsidRPr="00AB3EF9" w:rsidRDefault="002F5518" w:rsidP="00002258">
      <w:pPr>
        <w:spacing w:line="276" w:lineRule="auto"/>
        <w:jc w:val="both"/>
        <w:rPr>
          <w:sz w:val="22"/>
        </w:rPr>
      </w:pPr>
      <w:r>
        <w:rPr>
          <w:sz w:val="22"/>
        </w:rPr>
        <w:tab/>
      </w:r>
    </w:p>
    <w:p w14:paraId="251980CD" w14:textId="7746586E" w:rsidR="00002258" w:rsidRPr="00F063B8" w:rsidRDefault="00002258" w:rsidP="00002258">
      <w:pPr>
        <w:spacing w:line="276" w:lineRule="auto"/>
        <w:jc w:val="both"/>
      </w:pPr>
      <w:r>
        <w:rPr>
          <w:sz w:val="22"/>
        </w:rPr>
        <w:t xml:space="preserve">The income from these networks, which totalled </w:t>
      </w:r>
      <w:r>
        <w:rPr>
          <w:b/>
          <w:bCs/>
          <w:sz w:val="22"/>
        </w:rPr>
        <w:t>€</w:t>
      </w:r>
      <w:r>
        <w:rPr>
          <w:b/>
          <w:sz w:val="22"/>
        </w:rPr>
        <w:t>602 M</w:t>
      </w:r>
      <w:r>
        <w:rPr>
          <w:sz w:val="22"/>
        </w:rPr>
        <w:t xml:space="preserve"> thus passing the €600 M mark for the first time in Keolis</w:t>
      </w:r>
      <w:r w:rsidR="00AC6CF6">
        <w:rPr>
          <w:sz w:val="22"/>
        </w:rPr>
        <w:t>’</w:t>
      </w:r>
      <w:r w:rsidR="00624FAB">
        <w:rPr>
          <w:sz w:val="22"/>
        </w:rPr>
        <w:t>s</w:t>
      </w:r>
      <w:r>
        <w:rPr>
          <w:sz w:val="22"/>
        </w:rPr>
        <w:t xml:space="preserve"> history, testifies to </w:t>
      </w:r>
      <w:r w:rsidR="001C2E62">
        <w:rPr>
          <w:sz w:val="22"/>
        </w:rPr>
        <w:t xml:space="preserve">the </w:t>
      </w:r>
      <w:r w:rsidR="00624FAB">
        <w:rPr>
          <w:sz w:val="22"/>
        </w:rPr>
        <w:t xml:space="preserve">expertise of </w:t>
      </w:r>
      <w:r>
        <w:rPr>
          <w:sz w:val="22"/>
        </w:rPr>
        <w:t xml:space="preserve">the </w:t>
      </w:r>
      <w:r w:rsidR="00624FAB">
        <w:rPr>
          <w:sz w:val="22"/>
        </w:rPr>
        <w:t xml:space="preserve">Keolis </w:t>
      </w:r>
      <w:r>
        <w:rPr>
          <w:sz w:val="22"/>
        </w:rPr>
        <w:t xml:space="preserve">Group in </w:t>
      </w:r>
      <w:r w:rsidRPr="0018553B">
        <w:rPr>
          <w:sz w:val="22"/>
        </w:rPr>
        <w:t>design</w:t>
      </w:r>
      <w:r w:rsidR="00AC6CF6" w:rsidRPr="0018553B">
        <w:rPr>
          <w:sz w:val="22"/>
        </w:rPr>
        <w:t>ing</w:t>
      </w:r>
      <w:r w:rsidRPr="0018553B">
        <w:rPr>
          <w:sz w:val="22"/>
        </w:rPr>
        <w:t xml:space="preserve"> attractive networks, sales actions to win and retain customers, and anti-fraud measures</w:t>
      </w:r>
      <w:r w:rsidRPr="00F063B8">
        <w:rPr>
          <w:sz w:val="22"/>
        </w:rPr>
        <w:t>.</w:t>
      </w:r>
    </w:p>
    <w:p w14:paraId="275EDE22" w14:textId="77777777" w:rsidR="00002258" w:rsidRDefault="00002258" w:rsidP="000C2926">
      <w:pPr>
        <w:spacing w:line="276" w:lineRule="auto"/>
        <w:jc w:val="both"/>
        <w:rPr>
          <w:i/>
          <w:color w:val="007F92" w:themeColor="text2" w:themeShade="BF"/>
          <w:sz w:val="24"/>
        </w:rPr>
      </w:pPr>
    </w:p>
    <w:p w14:paraId="0C0E8A93" w14:textId="77777777" w:rsidR="00A4048B" w:rsidRDefault="00A4048B">
      <w:pPr>
        <w:spacing w:after="160" w:line="259" w:lineRule="auto"/>
        <w:rPr>
          <w:i/>
          <w:color w:val="007F92" w:themeColor="text2" w:themeShade="BF"/>
          <w:sz w:val="24"/>
        </w:rPr>
      </w:pPr>
      <w:r>
        <w:rPr>
          <w:i/>
          <w:color w:val="007F92" w:themeColor="text2" w:themeShade="BF"/>
          <w:sz w:val="24"/>
        </w:rPr>
        <w:br w:type="page"/>
      </w:r>
    </w:p>
    <w:p w14:paraId="1BABFBC2" w14:textId="063DCDD8" w:rsidR="004677F1" w:rsidRDefault="00F23144" w:rsidP="000C2926">
      <w:pPr>
        <w:spacing w:line="276" w:lineRule="auto"/>
        <w:jc w:val="both"/>
        <w:rPr>
          <w:i/>
          <w:color w:val="007F92" w:themeColor="text2" w:themeShade="BF"/>
          <w:sz w:val="24"/>
        </w:rPr>
      </w:pPr>
      <w:r>
        <w:rPr>
          <w:i/>
          <w:color w:val="007F92" w:themeColor="text2" w:themeShade="BF"/>
          <w:sz w:val="24"/>
        </w:rPr>
        <w:t>Major new contracts…</w:t>
      </w:r>
    </w:p>
    <w:p w14:paraId="15062E84" w14:textId="77777777" w:rsidR="004677F1" w:rsidRPr="004677F1" w:rsidRDefault="004677F1" w:rsidP="000C2926">
      <w:pPr>
        <w:spacing w:line="276" w:lineRule="auto"/>
        <w:jc w:val="both"/>
        <w:rPr>
          <w:sz w:val="10"/>
          <w:szCs w:val="10"/>
        </w:rPr>
      </w:pPr>
    </w:p>
    <w:p w14:paraId="17842DB1" w14:textId="2F0B795E" w:rsidR="00DD5ED7" w:rsidRDefault="00DD5ED7" w:rsidP="00DD5ED7">
      <w:pPr>
        <w:spacing w:line="276" w:lineRule="auto"/>
        <w:jc w:val="both"/>
        <w:rPr>
          <w:sz w:val="22"/>
        </w:rPr>
      </w:pPr>
      <w:r>
        <w:rPr>
          <w:sz w:val="22"/>
        </w:rPr>
        <w:t>Keolis won three new contracts, which came into effect on 1 January 2019:</w:t>
      </w:r>
    </w:p>
    <w:p w14:paraId="465E0808" w14:textId="77777777" w:rsidR="00F063B8" w:rsidRPr="009859C0" w:rsidRDefault="00F063B8" w:rsidP="00F063B8">
      <w:pPr>
        <w:spacing w:line="276" w:lineRule="auto"/>
        <w:jc w:val="both"/>
        <w:rPr>
          <w:sz w:val="6"/>
          <w:szCs w:val="6"/>
        </w:rPr>
      </w:pPr>
    </w:p>
    <w:p w14:paraId="7759EB1F" w14:textId="28600C43" w:rsidR="00DD5ED7" w:rsidRPr="00B10543" w:rsidRDefault="00DD5ED7" w:rsidP="00897BB6">
      <w:pPr>
        <w:pStyle w:val="Liststycke"/>
        <w:numPr>
          <w:ilvl w:val="0"/>
          <w:numId w:val="20"/>
        </w:numPr>
        <w:spacing w:line="276" w:lineRule="auto"/>
        <w:jc w:val="both"/>
        <w:rPr>
          <w:sz w:val="22"/>
        </w:rPr>
      </w:pPr>
      <w:r>
        <w:rPr>
          <w:sz w:val="22"/>
          <w:u w:val="single"/>
        </w:rPr>
        <w:t>Nanc</w:t>
      </w:r>
      <w:r w:rsidRPr="00F52E6A">
        <w:rPr>
          <w:sz w:val="22"/>
          <w:u w:val="single"/>
        </w:rPr>
        <w:t>y</w:t>
      </w:r>
      <w:r>
        <w:rPr>
          <w:sz w:val="22"/>
        </w:rPr>
        <w:t>:</w:t>
      </w:r>
      <w:r>
        <w:t xml:space="preserve"> </w:t>
      </w:r>
      <w:r w:rsidR="00AC6CF6" w:rsidRPr="00F52E6A">
        <w:rPr>
          <w:sz w:val="22"/>
          <w:szCs w:val="22"/>
        </w:rPr>
        <w:t xml:space="preserve">the </w:t>
      </w:r>
      <w:r w:rsidR="00AC6CF6" w:rsidRPr="0018553B">
        <w:rPr>
          <w:sz w:val="22"/>
          <w:szCs w:val="22"/>
        </w:rPr>
        <w:t>Metropolitan Council of</w:t>
      </w:r>
      <w:r w:rsidR="00AC6CF6" w:rsidRPr="00203FCE">
        <w:rPr>
          <w:sz w:val="22"/>
          <w:szCs w:val="22"/>
        </w:rPr>
        <w:t xml:space="preserve"> </w:t>
      </w:r>
      <w:r w:rsidRPr="0018553B">
        <w:rPr>
          <w:sz w:val="22"/>
          <w:szCs w:val="22"/>
        </w:rPr>
        <w:t>Gr</w:t>
      </w:r>
      <w:r w:rsidR="00AC6CF6" w:rsidRPr="0018553B">
        <w:rPr>
          <w:sz w:val="22"/>
          <w:szCs w:val="22"/>
        </w:rPr>
        <w:t>eater</w:t>
      </w:r>
      <w:r w:rsidRPr="0018553B">
        <w:rPr>
          <w:sz w:val="22"/>
          <w:szCs w:val="22"/>
        </w:rPr>
        <w:t xml:space="preserve"> Nancy</w:t>
      </w:r>
      <w:r w:rsidRPr="00B36B9D">
        <w:rPr>
          <w:b/>
          <w:sz w:val="22"/>
          <w:szCs w:val="22"/>
        </w:rPr>
        <w:t xml:space="preserve"> </w:t>
      </w:r>
      <w:r w:rsidRPr="00B36B9D">
        <w:rPr>
          <w:sz w:val="22"/>
          <w:szCs w:val="22"/>
        </w:rPr>
        <w:t xml:space="preserve">chose the </w:t>
      </w:r>
      <w:r w:rsidR="00624FAB">
        <w:rPr>
          <w:sz w:val="22"/>
          <w:szCs w:val="22"/>
        </w:rPr>
        <w:t xml:space="preserve">Keolis </w:t>
      </w:r>
      <w:r w:rsidRPr="00B36B9D">
        <w:rPr>
          <w:sz w:val="22"/>
          <w:szCs w:val="22"/>
        </w:rPr>
        <w:t>Group to operate its public transport</w:t>
      </w:r>
      <w:r>
        <w:rPr>
          <w:sz w:val="22"/>
        </w:rPr>
        <w:t xml:space="preserve"> network, </w:t>
      </w:r>
      <w:r>
        <w:rPr>
          <w:b/>
          <w:sz w:val="22"/>
        </w:rPr>
        <w:t>Stan</w:t>
      </w:r>
      <w:r>
        <w:rPr>
          <w:sz w:val="22"/>
        </w:rPr>
        <w:t xml:space="preserve">, comprising trams, buses, electric shuttle services, on-demand transport services, transport for </w:t>
      </w:r>
      <w:r w:rsidR="00B36B9D">
        <w:rPr>
          <w:sz w:val="22"/>
        </w:rPr>
        <w:t xml:space="preserve">passengers </w:t>
      </w:r>
      <w:r>
        <w:rPr>
          <w:sz w:val="22"/>
        </w:rPr>
        <w:t>with reduced mobility and park</w:t>
      </w:r>
      <w:r w:rsidR="00B36B9D">
        <w:rPr>
          <w:sz w:val="22"/>
        </w:rPr>
        <w:t>-and-</w:t>
      </w:r>
      <w:r>
        <w:rPr>
          <w:sz w:val="22"/>
        </w:rPr>
        <w:t xml:space="preserve">ride </w:t>
      </w:r>
      <w:r w:rsidR="00B36B9D">
        <w:rPr>
          <w:sz w:val="22"/>
        </w:rPr>
        <w:t>facilities</w:t>
      </w:r>
      <w:r>
        <w:rPr>
          <w:sz w:val="22"/>
        </w:rPr>
        <w:t xml:space="preserve">. The </w:t>
      </w:r>
      <w:r w:rsidR="00B36B9D">
        <w:rPr>
          <w:sz w:val="22"/>
        </w:rPr>
        <w:t>six</w:t>
      </w:r>
      <w:r>
        <w:rPr>
          <w:sz w:val="22"/>
        </w:rPr>
        <w:t xml:space="preserve">-year contract will generate a </w:t>
      </w:r>
      <w:r w:rsidR="00B36B9D">
        <w:rPr>
          <w:sz w:val="22"/>
        </w:rPr>
        <w:t>cumulative revenue</w:t>
      </w:r>
      <w:r>
        <w:rPr>
          <w:sz w:val="22"/>
        </w:rPr>
        <w:t xml:space="preserve"> of €346.8 M. Th</w:t>
      </w:r>
      <w:r w:rsidR="001B490B">
        <w:rPr>
          <w:sz w:val="22"/>
        </w:rPr>
        <w:t>is contract includes the replacement of</w:t>
      </w:r>
      <w:r>
        <w:rPr>
          <w:sz w:val="22"/>
        </w:rPr>
        <w:t xml:space="preserve"> the current tram</w:t>
      </w:r>
      <w:r w:rsidR="00B36B9D">
        <w:rPr>
          <w:sz w:val="22"/>
        </w:rPr>
        <w:t>s</w:t>
      </w:r>
      <w:r>
        <w:rPr>
          <w:sz w:val="22"/>
        </w:rPr>
        <w:t xml:space="preserve"> on tyres (TVR) with </w:t>
      </w:r>
      <w:r w:rsidR="00B36B9D">
        <w:rPr>
          <w:sz w:val="22"/>
        </w:rPr>
        <w:t xml:space="preserve">steel-wheeled </w:t>
      </w:r>
      <w:r>
        <w:rPr>
          <w:sz w:val="22"/>
        </w:rPr>
        <w:t>tram</w:t>
      </w:r>
      <w:r w:rsidR="00B36B9D">
        <w:rPr>
          <w:sz w:val="22"/>
        </w:rPr>
        <w:t>s</w:t>
      </w:r>
      <w:r>
        <w:rPr>
          <w:sz w:val="22"/>
        </w:rPr>
        <w:t>.</w:t>
      </w:r>
    </w:p>
    <w:p w14:paraId="62B8B8EB" w14:textId="77777777" w:rsidR="00D60D0F" w:rsidRPr="003045E2" w:rsidRDefault="00D60D0F" w:rsidP="00D60D0F">
      <w:pPr>
        <w:pStyle w:val="Liststycke"/>
        <w:spacing w:line="276" w:lineRule="auto"/>
        <w:ind w:left="1069"/>
        <w:jc w:val="both"/>
        <w:rPr>
          <w:sz w:val="22"/>
        </w:rPr>
      </w:pPr>
    </w:p>
    <w:p w14:paraId="4A7D9B18" w14:textId="5745C0AC" w:rsidR="00002258" w:rsidRPr="00B5203B" w:rsidRDefault="00002258" w:rsidP="00002258">
      <w:pPr>
        <w:pStyle w:val="Liststycke"/>
        <w:numPr>
          <w:ilvl w:val="0"/>
          <w:numId w:val="20"/>
        </w:numPr>
        <w:spacing w:line="276" w:lineRule="auto"/>
        <w:jc w:val="both"/>
        <w:rPr>
          <w:sz w:val="22"/>
        </w:rPr>
      </w:pPr>
      <w:proofErr w:type="spellStart"/>
      <w:r>
        <w:rPr>
          <w:sz w:val="22"/>
          <w:u w:val="single"/>
        </w:rPr>
        <w:t>Chambéry</w:t>
      </w:r>
      <w:proofErr w:type="spellEnd"/>
      <w:r>
        <w:rPr>
          <w:sz w:val="22"/>
        </w:rPr>
        <w:t xml:space="preserve">: the </w:t>
      </w:r>
      <w:r w:rsidR="00810680">
        <w:rPr>
          <w:sz w:val="22"/>
        </w:rPr>
        <w:t>six</w:t>
      </w:r>
      <w:r>
        <w:rPr>
          <w:sz w:val="22"/>
        </w:rPr>
        <w:t xml:space="preserve">-year contract, with </w:t>
      </w:r>
      <w:r w:rsidR="00736068">
        <w:rPr>
          <w:sz w:val="22"/>
        </w:rPr>
        <w:t>cumulative</w:t>
      </w:r>
      <w:r w:rsidR="00810680">
        <w:rPr>
          <w:sz w:val="22"/>
        </w:rPr>
        <w:t xml:space="preserve"> revenues</w:t>
      </w:r>
      <w:r>
        <w:rPr>
          <w:sz w:val="22"/>
        </w:rPr>
        <w:t xml:space="preserve"> of €138 M, includes the management and operation of the public transport network for the </w:t>
      </w:r>
      <w:r w:rsidR="00810680" w:rsidRPr="0018553B">
        <w:rPr>
          <w:sz w:val="22"/>
        </w:rPr>
        <w:t xml:space="preserve">Municipality of Greater </w:t>
      </w:r>
      <w:proofErr w:type="spellStart"/>
      <w:r w:rsidRPr="0018553B">
        <w:rPr>
          <w:sz w:val="22"/>
        </w:rPr>
        <w:t>Chambéry</w:t>
      </w:r>
      <w:proofErr w:type="spellEnd"/>
      <w:r w:rsidRPr="0018553B">
        <w:rPr>
          <w:sz w:val="22"/>
        </w:rPr>
        <w:t>,</w:t>
      </w:r>
      <w:r>
        <w:rPr>
          <w:sz w:val="22"/>
        </w:rPr>
        <w:t xml:space="preserve"> with a </w:t>
      </w:r>
      <w:r w:rsidR="00DA7743">
        <w:rPr>
          <w:sz w:val="22"/>
        </w:rPr>
        <w:t xml:space="preserve">targeted 14% increase in </w:t>
      </w:r>
      <w:r>
        <w:rPr>
          <w:sz w:val="22"/>
        </w:rPr>
        <w:t xml:space="preserve">passenger </w:t>
      </w:r>
      <w:r w:rsidR="004D6C5F">
        <w:rPr>
          <w:sz w:val="22"/>
        </w:rPr>
        <w:t>numbers</w:t>
      </w:r>
      <w:r w:rsidR="00DA7743">
        <w:rPr>
          <w:sz w:val="22"/>
        </w:rPr>
        <w:t xml:space="preserve"> </w:t>
      </w:r>
      <w:r>
        <w:rPr>
          <w:sz w:val="22"/>
        </w:rPr>
        <w:t>(i.e. 15 million passengers per year vs 13 million at present).</w:t>
      </w:r>
    </w:p>
    <w:p w14:paraId="33909EAE" w14:textId="77777777" w:rsidR="00C44B25" w:rsidRPr="003045E2" w:rsidRDefault="00C44B25" w:rsidP="00C44B25">
      <w:pPr>
        <w:pStyle w:val="Liststycke"/>
        <w:rPr>
          <w:sz w:val="22"/>
        </w:rPr>
      </w:pPr>
    </w:p>
    <w:p w14:paraId="15984BA4" w14:textId="633BA590" w:rsidR="00B2611C" w:rsidRPr="00B10543" w:rsidRDefault="00B2611C" w:rsidP="00B2611C">
      <w:pPr>
        <w:pStyle w:val="Liststycke"/>
        <w:numPr>
          <w:ilvl w:val="0"/>
          <w:numId w:val="20"/>
        </w:numPr>
        <w:spacing w:line="276" w:lineRule="auto"/>
        <w:jc w:val="both"/>
      </w:pPr>
      <w:r>
        <w:rPr>
          <w:sz w:val="22"/>
          <w:u w:val="single"/>
        </w:rPr>
        <w:t>Bourg-</w:t>
      </w:r>
      <w:proofErr w:type="spellStart"/>
      <w:r>
        <w:rPr>
          <w:sz w:val="22"/>
          <w:u w:val="single"/>
        </w:rPr>
        <w:t>en</w:t>
      </w:r>
      <w:proofErr w:type="spellEnd"/>
      <w:r>
        <w:rPr>
          <w:sz w:val="22"/>
          <w:u w:val="single"/>
        </w:rPr>
        <w:t>-</w:t>
      </w:r>
      <w:proofErr w:type="spellStart"/>
      <w:r>
        <w:rPr>
          <w:sz w:val="22"/>
          <w:u w:val="single"/>
        </w:rPr>
        <w:t>Bresse</w:t>
      </w:r>
      <w:proofErr w:type="spellEnd"/>
      <w:r>
        <w:rPr>
          <w:sz w:val="22"/>
        </w:rPr>
        <w:t xml:space="preserve">: </w:t>
      </w:r>
      <w:r w:rsidR="00DA7743" w:rsidRPr="0018553B">
        <w:rPr>
          <w:sz w:val="22"/>
        </w:rPr>
        <w:t>Greater</w:t>
      </w:r>
      <w:r w:rsidRPr="0018553B">
        <w:rPr>
          <w:sz w:val="22"/>
        </w:rPr>
        <w:t xml:space="preserve"> Bourg-</w:t>
      </w:r>
      <w:proofErr w:type="spellStart"/>
      <w:r w:rsidRPr="0018553B">
        <w:rPr>
          <w:sz w:val="22"/>
        </w:rPr>
        <w:t>en</w:t>
      </w:r>
      <w:proofErr w:type="spellEnd"/>
      <w:r w:rsidRPr="0018553B">
        <w:rPr>
          <w:sz w:val="22"/>
        </w:rPr>
        <w:t>-</w:t>
      </w:r>
      <w:proofErr w:type="spellStart"/>
      <w:r w:rsidRPr="0018553B">
        <w:rPr>
          <w:sz w:val="22"/>
        </w:rPr>
        <w:t>Bresse</w:t>
      </w:r>
      <w:proofErr w:type="spellEnd"/>
      <w:r>
        <w:rPr>
          <w:b/>
          <w:sz w:val="22"/>
        </w:rPr>
        <w:t xml:space="preserve"> </w:t>
      </w:r>
      <w:r>
        <w:rPr>
          <w:sz w:val="22"/>
        </w:rPr>
        <w:t xml:space="preserve">has entrusted Keolis with the operation of </w:t>
      </w:r>
      <w:r w:rsidR="00DA7743">
        <w:rPr>
          <w:sz w:val="22"/>
        </w:rPr>
        <w:t xml:space="preserve">all </w:t>
      </w:r>
      <w:r>
        <w:rPr>
          <w:sz w:val="22"/>
        </w:rPr>
        <w:t>public transport services for its 75 commun</w:t>
      </w:r>
      <w:r w:rsidR="00DA7743">
        <w:rPr>
          <w:sz w:val="22"/>
        </w:rPr>
        <w:t>es</w:t>
      </w:r>
      <w:r>
        <w:rPr>
          <w:sz w:val="22"/>
        </w:rPr>
        <w:t xml:space="preserve">. The </w:t>
      </w:r>
      <w:r w:rsidR="00DA7743">
        <w:rPr>
          <w:sz w:val="22"/>
        </w:rPr>
        <w:t>four</w:t>
      </w:r>
      <w:r>
        <w:rPr>
          <w:sz w:val="22"/>
        </w:rPr>
        <w:t xml:space="preserve">-year contract, with a </w:t>
      </w:r>
      <w:r w:rsidR="00DA7743">
        <w:rPr>
          <w:sz w:val="22"/>
        </w:rPr>
        <w:t>cumulative revenue</w:t>
      </w:r>
      <w:r>
        <w:rPr>
          <w:sz w:val="22"/>
        </w:rPr>
        <w:t xml:space="preserve"> of €37.5 M, includes the </w:t>
      </w:r>
      <w:r w:rsidR="00DA7743">
        <w:rPr>
          <w:sz w:val="22"/>
        </w:rPr>
        <w:t xml:space="preserve">introduction </w:t>
      </w:r>
      <w:r>
        <w:rPr>
          <w:sz w:val="22"/>
        </w:rPr>
        <w:t>of an on-demand transport service</w:t>
      </w:r>
      <w:r>
        <w:rPr>
          <w:color w:val="000000" w:themeColor="text1"/>
          <w:sz w:val="22"/>
        </w:rPr>
        <w:t>.</w:t>
      </w:r>
    </w:p>
    <w:p w14:paraId="60600541" w14:textId="77777777" w:rsidR="00AB0679" w:rsidRDefault="00AB0679" w:rsidP="00AB0679">
      <w:pPr>
        <w:spacing w:line="276" w:lineRule="auto"/>
        <w:jc w:val="both"/>
        <w:rPr>
          <w:sz w:val="22"/>
        </w:rPr>
      </w:pPr>
    </w:p>
    <w:p w14:paraId="1B75A0EA" w14:textId="36C309D4" w:rsidR="00AB0679" w:rsidRPr="00AB0679" w:rsidRDefault="00AB0679" w:rsidP="00AB0679">
      <w:pPr>
        <w:spacing w:line="276" w:lineRule="auto"/>
        <w:jc w:val="both"/>
        <w:rPr>
          <w:sz w:val="22"/>
        </w:rPr>
      </w:pPr>
      <w:r>
        <w:rPr>
          <w:sz w:val="22"/>
        </w:rPr>
        <w:t xml:space="preserve">In </w:t>
      </w:r>
      <w:r>
        <w:rPr>
          <w:b/>
          <w:sz w:val="22"/>
        </w:rPr>
        <w:t xml:space="preserve">Île-de-France, </w:t>
      </w:r>
      <w:r>
        <w:rPr>
          <w:sz w:val="22"/>
        </w:rPr>
        <w:t xml:space="preserve">the </w:t>
      </w:r>
      <w:r w:rsidR="00915F54">
        <w:rPr>
          <w:sz w:val="22"/>
        </w:rPr>
        <w:t xml:space="preserve">French </w:t>
      </w:r>
      <w:r>
        <w:rPr>
          <w:sz w:val="22"/>
        </w:rPr>
        <w:t xml:space="preserve">State </w:t>
      </w:r>
      <w:r w:rsidR="00915F54">
        <w:rPr>
          <w:sz w:val="22"/>
        </w:rPr>
        <w:t>designated</w:t>
      </w:r>
      <w:r>
        <w:rPr>
          <w:sz w:val="22"/>
        </w:rPr>
        <w:t xml:space="preserve"> the “</w:t>
      </w:r>
      <w:r>
        <w:rPr>
          <w:b/>
          <w:sz w:val="22"/>
        </w:rPr>
        <w:t>Hello Paris</w:t>
      </w:r>
      <w:r>
        <w:rPr>
          <w:sz w:val="22"/>
        </w:rPr>
        <w:t xml:space="preserve">” group, comprising Keolis and RATP Dev, to operate the </w:t>
      </w:r>
      <w:r>
        <w:rPr>
          <w:b/>
          <w:sz w:val="22"/>
        </w:rPr>
        <w:t>CDG Express</w:t>
      </w:r>
      <w:r>
        <w:rPr>
          <w:sz w:val="22"/>
        </w:rPr>
        <w:t xml:space="preserve">, the direct rail link between Paris </w:t>
      </w:r>
      <w:proofErr w:type="spellStart"/>
      <w:r>
        <w:rPr>
          <w:sz w:val="22"/>
        </w:rPr>
        <w:t>Gare</w:t>
      </w:r>
      <w:proofErr w:type="spellEnd"/>
      <w:r>
        <w:rPr>
          <w:sz w:val="22"/>
        </w:rPr>
        <w:t xml:space="preserve"> de </w:t>
      </w:r>
      <w:proofErr w:type="spellStart"/>
      <w:r>
        <w:rPr>
          <w:sz w:val="22"/>
        </w:rPr>
        <w:t>l‘Est</w:t>
      </w:r>
      <w:proofErr w:type="spellEnd"/>
      <w:r>
        <w:rPr>
          <w:sz w:val="22"/>
        </w:rPr>
        <w:t xml:space="preserve"> station and Paris-Charles de Gaulle airport, in preparation for the Paris Olympic Games in 2024. The contract, which is expected to be signed in the very near future, includes a </w:t>
      </w:r>
      <w:r w:rsidR="00DA7743">
        <w:rPr>
          <w:sz w:val="22"/>
        </w:rPr>
        <w:t>five-</w:t>
      </w:r>
      <w:r>
        <w:rPr>
          <w:sz w:val="22"/>
        </w:rPr>
        <w:t>year</w:t>
      </w:r>
      <w:r w:rsidR="00DA7743">
        <w:rPr>
          <w:sz w:val="22"/>
        </w:rPr>
        <w:t xml:space="preserve"> pre-operational period</w:t>
      </w:r>
      <w:r>
        <w:rPr>
          <w:sz w:val="22"/>
        </w:rPr>
        <w:t xml:space="preserve"> (2019</w:t>
      </w:r>
      <w:r w:rsidR="00DA7743">
        <w:rPr>
          <w:rFonts w:ascii="Arial" w:hAnsi="Arial"/>
          <w:sz w:val="22"/>
        </w:rPr>
        <w:t>–</w:t>
      </w:r>
      <w:r>
        <w:rPr>
          <w:sz w:val="22"/>
        </w:rPr>
        <w:t xml:space="preserve">2023), followed by a </w:t>
      </w:r>
      <w:r w:rsidR="001B490B">
        <w:rPr>
          <w:sz w:val="22"/>
        </w:rPr>
        <w:t>fifteen</w:t>
      </w:r>
      <w:r>
        <w:rPr>
          <w:sz w:val="22"/>
        </w:rPr>
        <w:t>-year operati</w:t>
      </w:r>
      <w:r w:rsidR="00DA7743">
        <w:rPr>
          <w:sz w:val="22"/>
        </w:rPr>
        <w:t>onal</w:t>
      </w:r>
      <w:r>
        <w:rPr>
          <w:sz w:val="22"/>
        </w:rPr>
        <w:t xml:space="preserve"> phase (2024</w:t>
      </w:r>
      <w:r w:rsidR="00DA7743">
        <w:rPr>
          <w:rFonts w:ascii="Arial" w:hAnsi="Arial"/>
          <w:sz w:val="22"/>
        </w:rPr>
        <w:t>–</w:t>
      </w:r>
      <w:r>
        <w:rPr>
          <w:sz w:val="22"/>
        </w:rPr>
        <w:t>2038).</w:t>
      </w:r>
    </w:p>
    <w:p w14:paraId="17303263" w14:textId="77777777" w:rsidR="00F239F1" w:rsidRPr="003045E2" w:rsidRDefault="00F239F1" w:rsidP="00F239F1">
      <w:pPr>
        <w:pStyle w:val="Liststycke"/>
        <w:spacing w:line="276" w:lineRule="auto"/>
        <w:ind w:left="1069"/>
        <w:jc w:val="both"/>
      </w:pPr>
    </w:p>
    <w:p w14:paraId="4CE6BC6E" w14:textId="3DAB4410" w:rsidR="0017743C" w:rsidRDefault="0017743C" w:rsidP="000C2926">
      <w:pPr>
        <w:spacing w:line="276" w:lineRule="auto"/>
        <w:jc w:val="both"/>
        <w:rPr>
          <w:i/>
          <w:color w:val="007F92" w:themeColor="text2" w:themeShade="BF"/>
          <w:sz w:val="24"/>
        </w:rPr>
      </w:pPr>
      <w:r>
        <w:rPr>
          <w:i/>
          <w:color w:val="007F92" w:themeColor="text2" w:themeShade="BF"/>
          <w:sz w:val="24"/>
        </w:rPr>
        <w:t xml:space="preserve">… and numerous renewals </w:t>
      </w:r>
    </w:p>
    <w:p w14:paraId="3F529B25" w14:textId="77777777" w:rsidR="0017743C" w:rsidRPr="00663229" w:rsidRDefault="0017743C" w:rsidP="000C2926">
      <w:pPr>
        <w:spacing w:line="276" w:lineRule="auto"/>
        <w:jc w:val="both"/>
        <w:rPr>
          <w:color w:val="007F92" w:themeColor="text2" w:themeShade="BF"/>
          <w:sz w:val="10"/>
          <w:szCs w:val="10"/>
        </w:rPr>
      </w:pPr>
    </w:p>
    <w:p w14:paraId="437CA968" w14:textId="714FB339" w:rsidR="005F5424" w:rsidRDefault="00B1113C" w:rsidP="005F5424">
      <w:pPr>
        <w:spacing w:line="276" w:lineRule="auto"/>
        <w:jc w:val="both"/>
        <w:rPr>
          <w:sz w:val="22"/>
        </w:rPr>
      </w:pPr>
      <w:r>
        <w:rPr>
          <w:sz w:val="22"/>
        </w:rPr>
        <w:t>In November 2018,</w:t>
      </w:r>
      <w:r w:rsidRPr="00203FCE">
        <w:rPr>
          <w:sz w:val="22"/>
        </w:rPr>
        <w:t xml:space="preserve"> </w:t>
      </w:r>
      <w:r w:rsidRPr="0018553B">
        <w:rPr>
          <w:sz w:val="22"/>
        </w:rPr>
        <w:t xml:space="preserve">Tours </w:t>
      </w:r>
      <w:proofErr w:type="spellStart"/>
      <w:r w:rsidRPr="0018553B">
        <w:rPr>
          <w:sz w:val="22"/>
        </w:rPr>
        <w:t>Métropole</w:t>
      </w:r>
      <w:proofErr w:type="spellEnd"/>
      <w:r w:rsidRPr="0018553B">
        <w:rPr>
          <w:sz w:val="22"/>
        </w:rPr>
        <w:t xml:space="preserve"> Val de Loire</w:t>
      </w:r>
      <w:r>
        <w:rPr>
          <w:sz w:val="22"/>
        </w:rPr>
        <w:t xml:space="preserve"> chose Keolis to operate and maintain its public transport network, </w:t>
      </w:r>
      <w:r>
        <w:rPr>
          <w:b/>
          <w:sz w:val="22"/>
        </w:rPr>
        <w:t>Fil Bleu</w:t>
      </w:r>
      <w:r>
        <w:rPr>
          <w:sz w:val="22"/>
        </w:rPr>
        <w:t xml:space="preserve">. This new </w:t>
      </w:r>
      <w:r w:rsidR="00F31835">
        <w:rPr>
          <w:sz w:val="22"/>
        </w:rPr>
        <w:t xml:space="preserve">seven-year </w:t>
      </w:r>
      <w:r>
        <w:rPr>
          <w:sz w:val="22"/>
        </w:rPr>
        <w:t xml:space="preserve">public service </w:t>
      </w:r>
      <w:r w:rsidR="00F31835">
        <w:rPr>
          <w:sz w:val="22"/>
        </w:rPr>
        <w:t>concession</w:t>
      </w:r>
      <w:r>
        <w:rPr>
          <w:sz w:val="22"/>
        </w:rPr>
        <w:t xml:space="preserve">, </w:t>
      </w:r>
      <w:r w:rsidR="00F31835">
        <w:rPr>
          <w:sz w:val="22"/>
        </w:rPr>
        <w:t xml:space="preserve">which </w:t>
      </w:r>
      <w:r>
        <w:rPr>
          <w:sz w:val="22"/>
        </w:rPr>
        <w:t>includ</w:t>
      </w:r>
      <w:r w:rsidR="00F31835">
        <w:rPr>
          <w:sz w:val="22"/>
        </w:rPr>
        <w:t>es</w:t>
      </w:r>
      <w:r>
        <w:rPr>
          <w:sz w:val="22"/>
        </w:rPr>
        <w:t xml:space="preserve"> the </w:t>
      </w:r>
      <w:r>
        <w:rPr>
          <w:b/>
          <w:color w:val="2A2C31"/>
          <w:sz w:val="22"/>
        </w:rPr>
        <w:t>Fil Blanc</w:t>
      </w:r>
      <w:r>
        <w:rPr>
          <w:color w:val="2A2C31"/>
          <w:sz w:val="22"/>
        </w:rPr>
        <w:t xml:space="preserve"> transport service for </w:t>
      </w:r>
      <w:r w:rsidR="00F31835">
        <w:rPr>
          <w:color w:val="2A2C31"/>
          <w:sz w:val="22"/>
        </w:rPr>
        <w:t xml:space="preserve">passengers </w:t>
      </w:r>
      <w:r>
        <w:rPr>
          <w:color w:val="2A2C31"/>
          <w:sz w:val="22"/>
        </w:rPr>
        <w:t xml:space="preserve">with reduced mobility, started on 1 January </w:t>
      </w:r>
      <w:r>
        <w:rPr>
          <w:sz w:val="22"/>
        </w:rPr>
        <w:t xml:space="preserve">2019. It will generate an expected </w:t>
      </w:r>
      <w:r w:rsidR="00F31835">
        <w:rPr>
          <w:sz w:val="22"/>
        </w:rPr>
        <w:t>cumulative revenue</w:t>
      </w:r>
      <w:r>
        <w:rPr>
          <w:sz w:val="22"/>
        </w:rPr>
        <w:t xml:space="preserve"> of €427 M. Keolis will advise Tours </w:t>
      </w:r>
      <w:proofErr w:type="spellStart"/>
      <w:r>
        <w:rPr>
          <w:sz w:val="22"/>
        </w:rPr>
        <w:t>Métropole</w:t>
      </w:r>
      <w:proofErr w:type="spellEnd"/>
      <w:r>
        <w:rPr>
          <w:sz w:val="22"/>
        </w:rPr>
        <w:t xml:space="preserve"> Val de Loire for the preparation and launch, in 2025, of the network’s second tram line.</w:t>
      </w:r>
    </w:p>
    <w:p w14:paraId="6BBA02CA" w14:textId="77777777" w:rsidR="00B1113C" w:rsidRPr="0095535F" w:rsidRDefault="00B1113C" w:rsidP="005F5424">
      <w:pPr>
        <w:spacing w:line="276" w:lineRule="auto"/>
        <w:jc w:val="both"/>
        <w:rPr>
          <w:sz w:val="22"/>
        </w:rPr>
      </w:pPr>
    </w:p>
    <w:p w14:paraId="5D1A36B0" w14:textId="49ED009C" w:rsidR="00B1113C" w:rsidRDefault="00524BB6" w:rsidP="00B1113C">
      <w:pPr>
        <w:spacing w:line="276" w:lineRule="auto"/>
        <w:jc w:val="both"/>
        <w:rPr>
          <w:sz w:val="22"/>
        </w:rPr>
      </w:pPr>
      <w:proofErr w:type="spellStart"/>
      <w:r w:rsidRPr="0018553B">
        <w:rPr>
          <w:sz w:val="22"/>
        </w:rPr>
        <w:t>Orléans</w:t>
      </w:r>
      <w:proofErr w:type="spellEnd"/>
      <w:r w:rsidRPr="0018553B">
        <w:rPr>
          <w:sz w:val="22"/>
        </w:rPr>
        <w:t xml:space="preserve"> </w:t>
      </w:r>
      <w:proofErr w:type="spellStart"/>
      <w:r w:rsidRPr="0018553B">
        <w:rPr>
          <w:sz w:val="22"/>
        </w:rPr>
        <w:t>Métropole</w:t>
      </w:r>
      <w:proofErr w:type="spellEnd"/>
      <w:r>
        <w:rPr>
          <w:sz w:val="22"/>
        </w:rPr>
        <w:t xml:space="preserve"> </w:t>
      </w:r>
      <w:r w:rsidR="00915F54">
        <w:rPr>
          <w:sz w:val="22"/>
        </w:rPr>
        <w:t xml:space="preserve">renewed its contract with </w:t>
      </w:r>
      <w:r>
        <w:rPr>
          <w:sz w:val="22"/>
        </w:rPr>
        <w:t xml:space="preserve">Keolis to operate and maintain its public transport network </w:t>
      </w:r>
      <w:r>
        <w:rPr>
          <w:b/>
          <w:sz w:val="22"/>
        </w:rPr>
        <w:t>Tao</w:t>
      </w:r>
      <w:r>
        <w:rPr>
          <w:sz w:val="22"/>
        </w:rPr>
        <w:t xml:space="preserve">. The new contract came into effect on 1 January 2019 for </w:t>
      </w:r>
      <w:r w:rsidR="00F31835">
        <w:rPr>
          <w:sz w:val="22"/>
        </w:rPr>
        <w:t>a period of six</w:t>
      </w:r>
      <w:r>
        <w:rPr>
          <w:sz w:val="22"/>
        </w:rPr>
        <w:t xml:space="preserve"> years, represent</w:t>
      </w:r>
      <w:r w:rsidR="00F31835">
        <w:rPr>
          <w:sz w:val="22"/>
        </w:rPr>
        <w:t>ing</w:t>
      </w:r>
      <w:r>
        <w:rPr>
          <w:sz w:val="22"/>
        </w:rPr>
        <w:t xml:space="preserve"> a </w:t>
      </w:r>
      <w:r w:rsidR="00F31835">
        <w:rPr>
          <w:sz w:val="22"/>
        </w:rPr>
        <w:t>cumulative revenue</w:t>
      </w:r>
      <w:r>
        <w:rPr>
          <w:sz w:val="22"/>
        </w:rPr>
        <w:t xml:space="preserve"> of €395 M. During this contract, the </w:t>
      </w:r>
      <w:r w:rsidR="00624FAB">
        <w:rPr>
          <w:sz w:val="22"/>
        </w:rPr>
        <w:t xml:space="preserve">Keolis </w:t>
      </w:r>
      <w:r>
        <w:rPr>
          <w:sz w:val="22"/>
        </w:rPr>
        <w:t xml:space="preserve">Group will assist </w:t>
      </w:r>
      <w:proofErr w:type="spellStart"/>
      <w:r>
        <w:rPr>
          <w:sz w:val="22"/>
        </w:rPr>
        <w:t>Orléans</w:t>
      </w:r>
      <w:proofErr w:type="spellEnd"/>
      <w:r>
        <w:rPr>
          <w:sz w:val="22"/>
        </w:rPr>
        <w:t xml:space="preserve"> </w:t>
      </w:r>
      <w:proofErr w:type="spellStart"/>
      <w:r>
        <w:rPr>
          <w:sz w:val="22"/>
        </w:rPr>
        <w:t>Métropole</w:t>
      </w:r>
      <w:proofErr w:type="spellEnd"/>
      <w:r>
        <w:rPr>
          <w:sz w:val="22"/>
        </w:rPr>
        <w:t xml:space="preserve"> </w:t>
      </w:r>
      <w:r w:rsidR="00915F54">
        <w:rPr>
          <w:sz w:val="22"/>
        </w:rPr>
        <w:t>in ach</w:t>
      </w:r>
      <w:r w:rsidR="00920E2D">
        <w:rPr>
          <w:sz w:val="22"/>
        </w:rPr>
        <w:t>ie</w:t>
      </w:r>
      <w:r w:rsidR="00915F54">
        <w:rPr>
          <w:sz w:val="22"/>
        </w:rPr>
        <w:t>ving its goal</w:t>
      </w:r>
      <w:r>
        <w:rPr>
          <w:sz w:val="22"/>
        </w:rPr>
        <w:t xml:space="preserve"> to propose a 100% electric transport offer, including the </w:t>
      </w:r>
      <w:r>
        <w:rPr>
          <w:b/>
          <w:sz w:val="22"/>
        </w:rPr>
        <w:t>replacement of its entire fleet of buses with electric vehicles by 2024</w:t>
      </w:r>
      <w:r>
        <w:rPr>
          <w:sz w:val="22"/>
        </w:rPr>
        <w:t xml:space="preserve">. Tao will thus be </w:t>
      </w:r>
      <w:r>
        <w:rPr>
          <w:b/>
          <w:sz w:val="22"/>
        </w:rPr>
        <w:t>France’s first 100% electric network</w:t>
      </w:r>
      <w:r>
        <w:rPr>
          <w:sz w:val="22"/>
        </w:rPr>
        <w:t xml:space="preserve">. </w:t>
      </w:r>
    </w:p>
    <w:p w14:paraId="341542A8" w14:textId="77777777" w:rsidR="00B1113C" w:rsidRDefault="00B1113C" w:rsidP="00D01F8B">
      <w:pPr>
        <w:spacing w:line="276" w:lineRule="auto"/>
        <w:jc w:val="both"/>
        <w:rPr>
          <w:sz w:val="24"/>
        </w:rPr>
      </w:pPr>
    </w:p>
    <w:p w14:paraId="37C48E20" w14:textId="5E6DBB62" w:rsidR="000314B9" w:rsidRPr="00B87806" w:rsidRDefault="000314B9" w:rsidP="006441A7">
      <w:pPr>
        <w:spacing w:line="276" w:lineRule="auto"/>
        <w:jc w:val="both"/>
        <w:rPr>
          <w:b/>
          <w:sz w:val="24"/>
        </w:rPr>
      </w:pPr>
      <w:r>
        <w:rPr>
          <w:sz w:val="22"/>
        </w:rPr>
        <w:t>Including the renewed contracts for medium-sized city transport networks (</w:t>
      </w:r>
      <w:r>
        <w:rPr>
          <w:b/>
          <w:sz w:val="22"/>
        </w:rPr>
        <w:t>Arras</w:t>
      </w:r>
      <w:r>
        <w:rPr>
          <w:sz w:val="22"/>
        </w:rPr>
        <w:t xml:space="preserve">, </w:t>
      </w:r>
      <w:proofErr w:type="spellStart"/>
      <w:r>
        <w:rPr>
          <w:b/>
          <w:sz w:val="22"/>
        </w:rPr>
        <w:t>Montargis</w:t>
      </w:r>
      <w:proofErr w:type="spellEnd"/>
      <w:r>
        <w:rPr>
          <w:sz w:val="22"/>
        </w:rPr>
        <w:t xml:space="preserve">, </w:t>
      </w:r>
      <w:proofErr w:type="spellStart"/>
      <w:r>
        <w:rPr>
          <w:b/>
          <w:sz w:val="22"/>
        </w:rPr>
        <w:t>Riom</w:t>
      </w:r>
      <w:proofErr w:type="spellEnd"/>
      <w:r>
        <w:rPr>
          <w:sz w:val="22"/>
        </w:rPr>
        <w:t xml:space="preserve">, </w:t>
      </w:r>
      <w:r>
        <w:rPr>
          <w:b/>
          <w:sz w:val="22"/>
        </w:rPr>
        <w:t>Saintes</w:t>
      </w:r>
      <w:r>
        <w:rPr>
          <w:sz w:val="22"/>
        </w:rPr>
        <w:t xml:space="preserve">, </w:t>
      </w:r>
      <w:r>
        <w:rPr>
          <w:b/>
          <w:sz w:val="22"/>
        </w:rPr>
        <w:t>Thiers</w:t>
      </w:r>
      <w:r>
        <w:rPr>
          <w:sz w:val="22"/>
        </w:rPr>
        <w:t xml:space="preserve"> and </w:t>
      </w:r>
      <w:proofErr w:type="spellStart"/>
      <w:r>
        <w:rPr>
          <w:b/>
          <w:sz w:val="22"/>
        </w:rPr>
        <w:t>Vitré</w:t>
      </w:r>
      <w:proofErr w:type="spellEnd"/>
      <w:r>
        <w:rPr>
          <w:sz w:val="22"/>
        </w:rPr>
        <w:t>) and inter</w:t>
      </w:r>
      <w:r w:rsidR="00F31835">
        <w:rPr>
          <w:sz w:val="22"/>
        </w:rPr>
        <w:t>city</w:t>
      </w:r>
      <w:r>
        <w:rPr>
          <w:sz w:val="22"/>
        </w:rPr>
        <w:t xml:space="preserve"> lines, </w:t>
      </w:r>
      <w:r>
        <w:rPr>
          <w:b/>
          <w:sz w:val="22"/>
        </w:rPr>
        <w:t xml:space="preserve">the </w:t>
      </w:r>
      <w:r w:rsidR="00736068">
        <w:rPr>
          <w:b/>
          <w:sz w:val="22"/>
        </w:rPr>
        <w:t xml:space="preserve">revenue </w:t>
      </w:r>
      <w:r>
        <w:rPr>
          <w:b/>
          <w:sz w:val="22"/>
        </w:rPr>
        <w:t>corresponding to the new contracts won represents an annual value of €413 M, while renewed contracts represent €327 M.</w:t>
      </w:r>
    </w:p>
    <w:p w14:paraId="3208F0A5" w14:textId="77777777" w:rsidR="006441A7" w:rsidRDefault="006441A7" w:rsidP="00D01F8B">
      <w:pPr>
        <w:spacing w:line="276" w:lineRule="auto"/>
        <w:jc w:val="both"/>
        <w:rPr>
          <w:sz w:val="24"/>
        </w:rPr>
      </w:pPr>
    </w:p>
    <w:p w14:paraId="1BBB310D" w14:textId="1FC565E1" w:rsidR="0018553B" w:rsidRDefault="0018553B" w:rsidP="005943ED">
      <w:pPr>
        <w:spacing w:line="276" w:lineRule="auto"/>
        <w:jc w:val="both"/>
        <w:rPr>
          <w:i/>
          <w:color w:val="007F92" w:themeColor="text2" w:themeShade="BF"/>
          <w:sz w:val="24"/>
        </w:rPr>
      </w:pPr>
    </w:p>
    <w:p w14:paraId="72E21ED5" w14:textId="67C5D720" w:rsidR="006F3132" w:rsidRDefault="006F3132" w:rsidP="005943ED">
      <w:pPr>
        <w:spacing w:line="276" w:lineRule="auto"/>
        <w:jc w:val="both"/>
        <w:rPr>
          <w:i/>
          <w:color w:val="007F92" w:themeColor="text2" w:themeShade="BF"/>
          <w:sz w:val="24"/>
        </w:rPr>
      </w:pPr>
    </w:p>
    <w:p w14:paraId="2BDAC94F" w14:textId="036997A5" w:rsidR="006F3132" w:rsidRDefault="006F3132" w:rsidP="005943ED">
      <w:pPr>
        <w:spacing w:line="276" w:lineRule="auto"/>
        <w:jc w:val="both"/>
        <w:rPr>
          <w:i/>
          <w:color w:val="007F92" w:themeColor="text2" w:themeShade="BF"/>
          <w:sz w:val="24"/>
        </w:rPr>
      </w:pPr>
    </w:p>
    <w:p w14:paraId="04EB5469" w14:textId="77777777" w:rsidR="006F3132" w:rsidRDefault="006F3132" w:rsidP="005943ED">
      <w:pPr>
        <w:spacing w:line="276" w:lineRule="auto"/>
        <w:jc w:val="both"/>
        <w:rPr>
          <w:i/>
          <w:color w:val="007F92" w:themeColor="text2" w:themeShade="BF"/>
          <w:sz w:val="24"/>
        </w:rPr>
      </w:pPr>
    </w:p>
    <w:p w14:paraId="6628AB0F" w14:textId="595E8FB0" w:rsidR="005943ED" w:rsidRPr="00111D86" w:rsidRDefault="005943ED" w:rsidP="005943ED">
      <w:pPr>
        <w:spacing w:line="276" w:lineRule="auto"/>
        <w:jc w:val="both"/>
        <w:rPr>
          <w:i/>
          <w:color w:val="007F92" w:themeColor="text2" w:themeShade="BF"/>
          <w:sz w:val="24"/>
        </w:rPr>
      </w:pPr>
      <w:r>
        <w:rPr>
          <w:i/>
          <w:color w:val="007F92" w:themeColor="text2" w:themeShade="BF"/>
          <w:sz w:val="24"/>
        </w:rPr>
        <w:t>Parking: a historic year for EFFIA</w:t>
      </w:r>
    </w:p>
    <w:p w14:paraId="4137507E" w14:textId="77777777" w:rsidR="005943ED" w:rsidRPr="001C0F48" w:rsidRDefault="005943ED" w:rsidP="005943ED">
      <w:pPr>
        <w:spacing w:line="276" w:lineRule="auto"/>
        <w:jc w:val="both"/>
        <w:rPr>
          <w:sz w:val="10"/>
          <w:szCs w:val="10"/>
        </w:rPr>
      </w:pPr>
    </w:p>
    <w:p w14:paraId="0217B6C9" w14:textId="75CAA6C2" w:rsidR="005943ED" w:rsidRPr="00931454" w:rsidRDefault="005943ED" w:rsidP="005943ED">
      <w:pPr>
        <w:spacing w:line="276" w:lineRule="auto"/>
        <w:jc w:val="both"/>
        <w:rPr>
          <w:sz w:val="22"/>
        </w:rPr>
      </w:pPr>
      <w:r>
        <w:rPr>
          <w:sz w:val="22"/>
        </w:rPr>
        <w:t xml:space="preserve">In </w:t>
      </w:r>
      <w:r>
        <w:rPr>
          <w:bCs/>
          <w:sz w:val="22"/>
        </w:rPr>
        <w:t xml:space="preserve">2018, the </w:t>
      </w:r>
      <w:r w:rsidR="00624FAB">
        <w:rPr>
          <w:bCs/>
          <w:sz w:val="22"/>
        </w:rPr>
        <w:t xml:space="preserve">Keolis </w:t>
      </w:r>
      <w:r>
        <w:rPr>
          <w:bCs/>
          <w:sz w:val="22"/>
        </w:rPr>
        <w:t>Group’s</w:t>
      </w:r>
      <w:r w:rsidR="00915F54">
        <w:rPr>
          <w:bCs/>
          <w:sz w:val="22"/>
        </w:rPr>
        <w:t xml:space="preserve"> </w:t>
      </w:r>
      <w:r>
        <w:rPr>
          <w:bCs/>
          <w:sz w:val="22"/>
        </w:rPr>
        <w:t xml:space="preserve"> </w:t>
      </w:r>
      <w:r w:rsidR="00915F54">
        <w:rPr>
          <w:sz w:val="22"/>
        </w:rPr>
        <w:t>EFFIA</w:t>
      </w:r>
      <w:r w:rsidR="00915F54">
        <w:rPr>
          <w:bCs/>
          <w:sz w:val="22"/>
        </w:rPr>
        <w:t xml:space="preserve"> </w:t>
      </w:r>
      <w:r>
        <w:rPr>
          <w:bCs/>
          <w:sz w:val="22"/>
        </w:rPr>
        <w:t>subsidiary won 25 contracts, representing €</w:t>
      </w:r>
      <w:r>
        <w:rPr>
          <w:sz w:val="22"/>
        </w:rPr>
        <w:t>28 M in annual turnover</w:t>
      </w:r>
      <w:r w:rsidR="00915F54">
        <w:rPr>
          <w:sz w:val="22"/>
        </w:rPr>
        <w:t xml:space="preserve"> including </w:t>
      </w:r>
      <w:r>
        <w:rPr>
          <w:sz w:val="22"/>
        </w:rPr>
        <w:t xml:space="preserve">€19 M of new contracts. These victories are all the more important given </w:t>
      </w:r>
      <w:r>
        <w:rPr>
          <w:sz w:val="22"/>
        </w:rPr>
        <w:lastRenderedPageBreak/>
        <w:t xml:space="preserve">that </w:t>
      </w:r>
      <w:r w:rsidR="000153F1">
        <w:rPr>
          <w:sz w:val="22"/>
        </w:rPr>
        <w:t xml:space="preserve">EFFIA </w:t>
      </w:r>
      <w:r>
        <w:rPr>
          <w:sz w:val="22"/>
        </w:rPr>
        <w:t>won almost all the major tender contracts, and notably all the barrier parking contracts</w:t>
      </w:r>
      <w:r w:rsidR="007C461E">
        <w:rPr>
          <w:sz w:val="22"/>
        </w:rPr>
        <w:t>,</w:t>
      </w:r>
      <w:r>
        <w:rPr>
          <w:sz w:val="22"/>
        </w:rPr>
        <w:t xml:space="preserve"> for Limoges, Le Havre and Grenoble.</w:t>
      </w:r>
    </w:p>
    <w:p w14:paraId="62CBFBA8" w14:textId="77777777" w:rsidR="005943ED" w:rsidRPr="00931454" w:rsidRDefault="005943ED" w:rsidP="005943ED">
      <w:pPr>
        <w:spacing w:line="276" w:lineRule="auto"/>
        <w:jc w:val="both"/>
        <w:rPr>
          <w:bCs/>
          <w:sz w:val="22"/>
        </w:rPr>
      </w:pPr>
    </w:p>
    <w:p w14:paraId="4682568B" w14:textId="2A0AED71" w:rsidR="005943ED" w:rsidRDefault="005943ED" w:rsidP="005943ED">
      <w:pPr>
        <w:spacing w:line="276" w:lineRule="auto"/>
        <w:jc w:val="both"/>
        <w:rPr>
          <w:bCs/>
          <w:sz w:val="22"/>
        </w:rPr>
      </w:pPr>
      <w:r>
        <w:rPr>
          <w:bCs/>
          <w:sz w:val="22"/>
        </w:rPr>
        <w:t xml:space="preserve">In total, </w:t>
      </w:r>
      <w:r w:rsidR="00736068">
        <w:rPr>
          <w:bCs/>
          <w:sz w:val="22"/>
        </w:rPr>
        <w:t>as of</w:t>
      </w:r>
      <w:r>
        <w:rPr>
          <w:bCs/>
          <w:sz w:val="22"/>
        </w:rPr>
        <w:t xml:space="preserve"> 1 January 2019, EFFIA manag</w:t>
      </w:r>
      <w:r w:rsidR="00736068">
        <w:rPr>
          <w:bCs/>
          <w:sz w:val="22"/>
        </w:rPr>
        <w:t>es</w:t>
      </w:r>
      <w:r>
        <w:rPr>
          <w:bCs/>
          <w:sz w:val="22"/>
        </w:rPr>
        <w:t xml:space="preserve"> </w:t>
      </w:r>
      <w:r>
        <w:rPr>
          <w:b/>
          <w:bCs/>
          <w:sz w:val="22"/>
        </w:rPr>
        <w:t>240,000 parking spaces</w:t>
      </w:r>
      <w:r>
        <w:rPr>
          <w:bCs/>
          <w:sz w:val="22"/>
        </w:rPr>
        <w:t xml:space="preserve">, </w:t>
      </w:r>
      <w:r w:rsidR="00736068">
        <w:rPr>
          <w:bCs/>
          <w:sz w:val="22"/>
        </w:rPr>
        <w:t>four</w:t>
      </w:r>
      <w:r>
        <w:rPr>
          <w:bCs/>
          <w:sz w:val="22"/>
        </w:rPr>
        <w:t xml:space="preserve"> times more than when it was </w:t>
      </w:r>
      <w:r w:rsidR="00915F54">
        <w:rPr>
          <w:bCs/>
          <w:sz w:val="22"/>
        </w:rPr>
        <w:t>acquired</w:t>
      </w:r>
      <w:r>
        <w:rPr>
          <w:bCs/>
          <w:sz w:val="22"/>
        </w:rPr>
        <w:t xml:space="preserve"> by Keolis in 2010.</w:t>
      </w:r>
    </w:p>
    <w:p w14:paraId="33BC3C71" w14:textId="1F03CC6A" w:rsidR="00A4289A" w:rsidRDefault="00A4289A" w:rsidP="000C2926">
      <w:pPr>
        <w:spacing w:line="276" w:lineRule="auto"/>
        <w:jc w:val="both"/>
        <w:rPr>
          <w:sz w:val="22"/>
        </w:rPr>
      </w:pPr>
    </w:p>
    <w:p w14:paraId="1FE5D4A9" w14:textId="77777777" w:rsidR="00E41686" w:rsidRPr="0018553B" w:rsidRDefault="00E41686" w:rsidP="00E41686">
      <w:pPr>
        <w:spacing w:line="276" w:lineRule="auto"/>
        <w:jc w:val="both"/>
        <w:rPr>
          <w:rFonts w:asciiTheme="majorHAnsi" w:eastAsiaTheme="majorEastAsia" w:hAnsiTheme="majorHAnsi" w:cstheme="majorBidi"/>
          <w:bCs/>
          <w:i/>
          <w:color w:val="00AAC3" w:themeColor="text2"/>
          <w:sz w:val="24"/>
          <w:szCs w:val="24"/>
        </w:rPr>
      </w:pPr>
      <w:r w:rsidRPr="0018553B">
        <w:rPr>
          <w:rFonts w:asciiTheme="majorHAnsi" w:hAnsiTheme="majorHAnsi"/>
          <w:bCs/>
          <w:i/>
          <w:color w:val="00AAC3" w:themeColor="text2"/>
          <w:sz w:val="24"/>
          <w:szCs w:val="24"/>
        </w:rPr>
        <w:t>Keolis Santé: continued development via external growth</w:t>
      </w:r>
    </w:p>
    <w:p w14:paraId="4F1C2552" w14:textId="77777777" w:rsidR="00E41686" w:rsidRPr="00E332F8" w:rsidRDefault="00E41686" w:rsidP="00E41686">
      <w:pPr>
        <w:spacing w:line="276" w:lineRule="auto"/>
        <w:jc w:val="both"/>
        <w:rPr>
          <w:i/>
          <w:color w:val="007F92" w:themeColor="text2" w:themeShade="BF"/>
          <w:sz w:val="10"/>
        </w:rPr>
      </w:pPr>
    </w:p>
    <w:p w14:paraId="05D09109" w14:textId="77777777" w:rsidR="00E41686" w:rsidRDefault="00E41686" w:rsidP="00E41686">
      <w:pPr>
        <w:pStyle w:val="Liststycke"/>
        <w:ind w:left="0"/>
        <w:jc w:val="both"/>
        <w:rPr>
          <w:rFonts w:eastAsiaTheme="minorHAnsi"/>
          <w:bCs/>
          <w:sz w:val="22"/>
          <w:szCs w:val="22"/>
        </w:rPr>
      </w:pPr>
      <w:r>
        <w:rPr>
          <w:bCs/>
          <w:sz w:val="22"/>
          <w:szCs w:val="22"/>
        </w:rPr>
        <w:t xml:space="preserve">Following on from the alliance formed at the end of 2017 between </w:t>
      </w:r>
      <w:r w:rsidRPr="0018553B">
        <w:rPr>
          <w:bCs/>
          <w:sz w:val="22"/>
          <w:szCs w:val="22"/>
        </w:rPr>
        <w:t>Keolis Santé</w:t>
      </w:r>
      <w:r>
        <w:rPr>
          <w:bCs/>
          <w:sz w:val="22"/>
          <w:szCs w:val="22"/>
        </w:rPr>
        <w:t xml:space="preserve"> and </w:t>
      </w:r>
      <w:proofErr w:type="spellStart"/>
      <w:r>
        <w:rPr>
          <w:b/>
          <w:bCs/>
          <w:sz w:val="22"/>
          <w:szCs w:val="22"/>
        </w:rPr>
        <w:t>Jussieu</w:t>
      </w:r>
      <w:proofErr w:type="spellEnd"/>
      <w:r>
        <w:rPr>
          <w:b/>
          <w:bCs/>
          <w:sz w:val="22"/>
          <w:szCs w:val="22"/>
        </w:rPr>
        <w:t xml:space="preserve"> Secours</w:t>
      </w:r>
      <w:r>
        <w:rPr>
          <w:bCs/>
          <w:sz w:val="22"/>
          <w:szCs w:val="22"/>
        </w:rPr>
        <w:t xml:space="preserve">, which led to the creation of </w:t>
      </w:r>
      <w:r>
        <w:rPr>
          <w:b/>
          <w:bCs/>
          <w:sz w:val="22"/>
          <w:szCs w:val="22"/>
        </w:rPr>
        <w:t>France’s first medical transport network</w:t>
      </w:r>
      <w:r>
        <w:rPr>
          <w:bCs/>
          <w:sz w:val="22"/>
          <w:szCs w:val="22"/>
        </w:rPr>
        <w:t xml:space="preserve">, Keolis Santé </w:t>
      </w:r>
      <w:r>
        <w:rPr>
          <w:b/>
          <w:bCs/>
          <w:sz w:val="22"/>
          <w:szCs w:val="22"/>
        </w:rPr>
        <w:t>acquired and integrated another 12 firms</w:t>
      </w:r>
      <w:r>
        <w:rPr>
          <w:bCs/>
          <w:sz w:val="22"/>
          <w:szCs w:val="22"/>
        </w:rPr>
        <w:t xml:space="preserve"> in 2018. On the strength of these acquisitions, the </w:t>
      </w:r>
      <w:proofErr w:type="spellStart"/>
      <w:r>
        <w:rPr>
          <w:bCs/>
          <w:sz w:val="22"/>
          <w:szCs w:val="22"/>
        </w:rPr>
        <w:t>Jussieu</w:t>
      </w:r>
      <w:proofErr w:type="spellEnd"/>
      <w:r>
        <w:rPr>
          <w:bCs/>
          <w:sz w:val="22"/>
          <w:szCs w:val="22"/>
        </w:rPr>
        <w:t xml:space="preserve"> Secours network now counts </w:t>
      </w:r>
      <w:r w:rsidRPr="0018553B">
        <w:rPr>
          <w:b/>
          <w:bCs/>
          <w:sz w:val="22"/>
          <w:szCs w:val="22"/>
        </w:rPr>
        <w:t>4,200</w:t>
      </w:r>
      <w:r>
        <w:rPr>
          <w:bCs/>
          <w:sz w:val="22"/>
          <w:szCs w:val="22"/>
        </w:rPr>
        <w:t xml:space="preserve"> professionals throughout France, and a fleet of </w:t>
      </w:r>
      <w:r w:rsidRPr="0018553B">
        <w:rPr>
          <w:b/>
          <w:bCs/>
          <w:sz w:val="22"/>
          <w:szCs w:val="22"/>
        </w:rPr>
        <w:t>2,600</w:t>
      </w:r>
      <w:r>
        <w:rPr>
          <w:bCs/>
          <w:sz w:val="22"/>
          <w:szCs w:val="22"/>
        </w:rPr>
        <w:t xml:space="preserve"> vehicles, representing a revenue of </w:t>
      </w:r>
      <w:r w:rsidRPr="0018553B">
        <w:rPr>
          <w:b/>
          <w:bCs/>
          <w:sz w:val="22"/>
          <w:szCs w:val="22"/>
        </w:rPr>
        <w:t>€210 M</w:t>
      </w:r>
      <w:r>
        <w:rPr>
          <w:bCs/>
          <w:sz w:val="22"/>
          <w:szCs w:val="22"/>
        </w:rPr>
        <w:t>.</w:t>
      </w:r>
    </w:p>
    <w:p w14:paraId="09E20B6E" w14:textId="77777777" w:rsidR="00E41686" w:rsidRDefault="00E41686" w:rsidP="00E41686">
      <w:pPr>
        <w:pStyle w:val="Liststycke"/>
        <w:ind w:left="0"/>
        <w:jc w:val="both"/>
        <w:rPr>
          <w:bCs/>
          <w:sz w:val="22"/>
          <w:szCs w:val="22"/>
        </w:rPr>
      </w:pPr>
    </w:p>
    <w:p w14:paraId="403F4188" w14:textId="0043C86B" w:rsidR="00E41686" w:rsidRDefault="00E41686" w:rsidP="00E41686">
      <w:pPr>
        <w:pStyle w:val="Liststycke"/>
        <w:ind w:left="0"/>
        <w:jc w:val="both"/>
        <w:rPr>
          <w:bCs/>
          <w:sz w:val="22"/>
          <w:szCs w:val="22"/>
        </w:rPr>
      </w:pPr>
      <w:r>
        <w:rPr>
          <w:bCs/>
          <w:sz w:val="22"/>
          <w:szCs w:val="22"/>
        </w:rPr>
        <w:t xml:space="preserve">This strategy is in line with the Keolis Group’s ambition to participate actively in </w:t>
      </w:r>
      <w:r w:rsidR="00915F54">
        <w:rPr>
          <w:bCs/>
          <w:sz w:val="22"/>
          <w:szCs w:val="22"/>
        </w:rPr>
        <w:t xml:space="preserve">consolidating </w:t>
      </w:r>
      <w:r>
        <w:rPr>
          <w:bCs/>
          <w:sz w:val="22"/>
          <w:szCs w:val="22"/>
        </w:rPr>
        <w:t xml:space="preserve">the sector, with a view to developing synergies and improving efficiency for patients. </w:t>
      </w:r>
    </w:p>
    <w:p w14:paraId="07F48745" w14:textId="77777777" w:rsidR="00ED0ACD" w:rsidRDefault="00ED0ACD" w:rsidP="00E41686">
      <w:pPr>
        <w:pStyle w:val="Liststycke"/>
        <w:ind w:left="0"/>
        <w:jc w:val="both"/>
        <w:rPr>
          <w:bCs/>
          <w:sz w:val="22"/>
          <w:szCs w:val="22"/>
        </w:rPr>
      </w:pPr>
    </w:p>
    <w:p w14:paraId="4AF6147E" w14:textId="77777777" w:rsidR="00ED0ACD" w:rsidRPr="008A31A9" w:rsidRDefault="00ED0ACD" w:rsidP="00E41686">
      <w:pPr>
        <w:pStyle w:val="Liststycke"/>
        <w:ind w:left="0"/>
        <w:jc w:val="both"/>
        <w:rPr>
          <w:rFonts w:eastAsiaTheme="minorHAnsi"/>
          <w:bCs/>
          <w:sz w:val="22"/>
          <w:szCs w:val="22"/>
        </w:rPr>
      </w:pPr>
    </w:p>
    <w:p w14:paraId="05567A6A" w14:textId="4B1200F4" w:rsidR="008B07AF" w:rsidRPr="00862A6C" w:rsidRDefault="009A3537" w:rsidP="00BB1DA3">
      <w:pPr>
        <w:spacing w:line="276" w:lineRule="auto"/>
        <w:jc w:val="both"/>
        <w:rPr>
          <w:rFonts w:asciiTheme="majorHAnsi" w:eastAsiaTheme="majorEastAsia" w:hAnsiTheme="majorHAnsi" w:cstheme="majorBidi"/>
          <w:b/>
          <w:bCs/>
          <w:color w:val="00AAC3" w:themeColor="text2"/>
          <w:sz w:val="26"/>
          <w:szCs w:val="26"/>
        </w:rPr>
      </w:pPr>
      <w:r>
        <w:rPr>
          <w:rFonts w:asciiTheme="majorHAnsi" w:hAnsiTheme="majorHAnsi"/>
          <w:b/>
          <w:bCs/>
          <w:color w:val="00AAC3" w:themeColor="text2"/>
          <w:sz w:val="26"/>
          <w:szCs w:val="26"/>
        </w:rPr>
        <w:t>Dynamic international activity</w:t>
      </w:r>
    </w:p>
    <w:p w14:paraId="5A338576" w14:textId="77777777" w:rsidR="00BB1DA3" w:rsidRPr="00862A6C" w:rsidRDefault="00BB1DA3" w:rsidP="00BB1DA3">
      <w:pPr>
        <w:spacing w:line="276" w:lineRule="auto"/>
        <w:jc w:val="both"/>
        <w:rPr>
          <w:color w:val="000000" w:themeColor="text1"/>
          <w:sz w:val="10"/>
          <w:szCs w:val="10"/>
        </w:rPr>
      </w:pPr>
    </w:p>
    <w:p w14:paraId="62B777A7" w14:textId="6AAC538C" w:rsidR="008E15E3" w:rsidRPr="00862A6C" w:rsidRDefault="00915F54" w:rsidP="001C3327">
      <w:pPr>
        <w:jc w:val="both"/>
        <w:rPr>
          <w:b/>
          <w:color w:val="000000" w:themeColor="text1"/>
          <w:sz w:val="22"/>
        </w:rPr>
      </w:pPr>
      <w:r>
        <w:rPr>
          <w:b/>
          <w:color w:val="000000" w:themeColor="text1"/>
          <w:sz w:val="22"/>
        </w:rPr>
        <w:t>With growth of 13%, i</w:t>
      </w:r>
      <w:r w:rsidR="00002258">
        <w:rPr>
          <w:b/>
          <w:color w:val="000000" w:themeColor="text1"/>
          <w:sz w:val="22"/>
        </w:rPr>
        <w:t>nternational revenue</w:t>
      </w:r>
      <w:r>
        <w:rPr>
          <w:b/>
          <w:color w:val="000000" w:themeColor="text1"/>
          <w:sz w:val="22"/>
        </w:rPr>
        <w:t xml:space="preserve"> </w:t>
      </w:r>
      <w:r w:rsidR="00002258">
        <w:rPr>
          <w:b/>
          <w:color w:val="000000" w:themeColor="text1"/>
          <w:sz w:val="22"/>
        </w:rPr>
        <w:t xml:space="preserve">now represents 49% of the </w:t>
      </w:r>
      <w:r w:rsidR="00624FAB">
        <w:rPr>
          <w:b/>
          <w:color w:val="000000" w:themeColor="text1"/>
          <w:sz w:val="22"/>
        </w:rPr>
        <w:t xml:space="preserve">Keolis </w:t>
      </w:r>
      <w:r w:rsidR="00002258">
        <w:rPr>
          <w:b/>
          <w:color w:val="000000" w:themeColor="text1"/>
          <w:sz w:val="22"/>
        </w:rPr>
        <w:t xml:space="preserve">Group’s </w:t>
      </w:r>
      <w:r w:rsidR="00E41686">
        <w:rPr>
          <w:b/>
          <w:color w:val="000000" w:themeColor="text1"/>
          <w:sz w:val="22"/>
        </w:rPr>
        <w:t>“</w:t>
      </w:r>
      <w:r w:rsidR="00002258">
        <w:rPr>
          <w:b/>
          <w:color w:val="000000" w:themeColor="text1"/>
          <w:sz w:val="22"/>
        </w:rPr>
        <w:t>Public Transport</w:t>
      </w:r>
      <w:r w:rsidR="00E41686">
        <w:rPr>
          <w:b/>
          <w:color w:val="000000" w:themeColor="text1"/>
          <w:sz w:val="22"/>
        </w:rPr>
        <w:t>”</w:t>
      </w:r>
      <w:r w:rsidR="00002258">
        <w:rPr>
          <w:b/>
          <w:color w:val="000000" w:themeColor="text1"/>
          <w:sz w:val="22"/>
        </w:rPr>
        <w:t xml:space="preserve"> turnover</w:t>
      </w:r>
      <w:r w:rsidR="00002258">
        <w:rPr>
          <w:b/>
          <w:sz w:val="22"/>
        </w:rPr>
        <w:t>. This growth is supported by new and renewed contracts and successful launches in the sector of mass transit networks</w:t>
      </w:r>
      <w:r w:rsidR="00C6695A">
        <w:rPr>
          <w:b/>
          <w:sz w:val="22"/>
        </w:rPr>
        <w:t>,</w:t>
      </w:r>
      <w:r w:rsidR="00002258">
        <w:rPr>
          <w:b/>
          <w:sz w:val="22"/>
        </w:rPr>
        <w:t xml:space="preserve"> a</w:t>
      </w:r>
      <w:r w:rsidR="00C6695A">
        <w:rPr>
          <w:b/>
          <w:sz w:val="22"/>
        </w:rPr>
        <w:t>s well a</w:t>
      </w:r>
      <w:r>
        <w:rPr>
          <w:b/>
          <w:sz w:val="22"/>
        </w:rPr>
        <w:t>s</w:t>
      </w:r>
      <w:r w:rsidR="00002258">
        <w:rPr>
          <w:b/>
          <w:sz w:val="22"/>
        </w:rPr>
        <w:t xml:space="preserve"> the creation of innovative micro-transit offers</w:t>
      </w:r>
      <w:r w:rsidR="00002258">
        <w:rPr>
          <w:b/>
          <w:color w:val="000000" w:themeColor="text1"/>
          <w:sz w:val="22"/>
        </w:rPr>
        <w:t xml:space="preserve">. </w:t>
      </w:r>
    </w:p>
    <w:p w14:paraId="4A7AC3D4" w14:textId="77777777" w:rsidR="008E15E3" w:rsidRDefault="008E15E3" w:rsidP="00BB1DA3">
      <w:pPr>
        <w:spacing w:line="276" w:lineRule="auto"/>
        <w:jc w:val="both"/>
        <w:rPr>
          <w:sz w:val="24"/>
        </w:rPr>
      </w:pPr>
    </w:p>
    <w:p w14:paraId="622C47B0" w14:textId="5D0436A7" w:rsidR="00E41D21" w:rsidRDefault="006464AD" w:rsidP="008215CD">
      <w:pPr>
        <w:spacing w:line="276" w:lineRule="auto"/>
        <w:jc w:val="both"/>
        <w:rPr>
          <w:i/>
          <w:color w:val="007F92" w:themeColor="text2" w:themeShade="BF"/>
          <w:sz w:val="24"/>
        </w:rPr>
      </w:pPr>
      <w:r>
        <w:rPr>
          <w:i/>
          <w:color w:val="007F92" w:themeColor="text2" w:themeShade="BF"/>
          <w:sz w:val="24"/>
        </w:rPr>
        <w:t>Keolis consolidates its expertise in the rail sector</w:t>
      </w:r>
    </w:p>
    <w:p w14:paraId="5C9C1F9F" w14:textId="77777777" w:rsidR="00F22BF0" w:rsidRPr="00F22BF0" w:rsidRDefault="00F22BF0" w:rsidP="008215CD">
      <w:pPr>
        <w:spacing w:line="276" w:lineRule="auto"/>
        <w:jc w:val="both"/>
        <w:rPr>
          <w:i/>
          <w:color w:val="FF0000"/>
          <w:sz w:val="10"/>
        </w:rPr>
      </w:pPr>
    </w:p>
    <w:p w14:paraId="359846FA" w14:textId="4DE69238" w:rsidR="00E41D21" w:rsidRDefault="00E41D21" w:rsidP="008215CD">
      <w:pPr>
        <w:spacing w:line="276" w:lineRule="auto"/>
        <w:jc w:val="both"/>
        <w:rPr>
          <w:bCs/>
          <w:sz w:val="22"/>
        </w:rPr>
      </w:pPr>
      <w:r>
        <w:rPr>
          <w:bCs/>
          <w:sz w:val="22"/>
        </w:rPr>
        <w:t xml:space="preserve">In May 2018, </w:t>
      </w:r>
      <w:proofErr w:type="spellStart"/>
      <w:r>
        <w:rPr>
          <w:bCs/>
          <w:sz w:val="22"/>
        </w:rPr>
        <w:t>KeolisAmey</w:t>
      </w:r>
      <w:proofErr w:type="spellEnd"/>
      <w:r>
        <w:rPr>
          <w:bCs/>
          <w:sz w:val="22"/>
        </w:rPr>
        <w:t xml:space="preserve">, the </w:t>
      </w:r>
      <w:r w:rsidR="00624FAB">
        <w:rPr>
          <w:bCs/>
          <w:sz w:val="22"/>
        </w:rPr>
        <w:t xml:space="preserve">Keolis </w:t>
      </w:r>
      <w:r>
        <w:rPr>
          <w:bCs/>
          <w:sz w:val="22"/>
        </w:rPr>
        <w:t xml:space="preserve">Group’s UK subsidiary, won the entire </w:t>
      </w:r>
      <w:r w:rsidR="005C3D7B">
        <w:rPr>
          <w:bCs/>
          <w:sz w:val="22"/>
        </w:rPr>
        <w:t xml:space="preserve">national </w:t>
      </w:r>
      <w:r>
        <w:rPr>
          <w:bCs/>
          <w:sz w:val="22"/>
        </w:rPr>
        <w:t>rail network</w:t>
      </w:r>
      <w:r w:rsidR="00736068">
        <w:rPr>
          <w:bCs/>
          <w:sz w:val="22"/>
        </w:rPr>
        <w:t xml:space="preserve"> of </w:t>
      </w:r>
      <w:r>
        <w:rPr>
          <w:b/>
          <w:bCs/>
          <w:sz w:val="22"/>
        </w:rPr>
        <w:t>Transport for</w:t>
      </w:r>
      <w:r>
        <w:rPr>
          <w:bCs/>
          <w:sz w:val="22"/>
        </w:rPr>
        <w:t xml:space="preserve"> </w:t>
      </w:r>
      <w:r>
        <w:rPr>
          <w:b/>
          <w:bCs/>
          <w:sz w:val="22"/>
        </w:rPr>
        <w:t>Wales</w:t>
      </w:r>
      <w:r>
        <w:rPr>
          <w:bCs/>
          <w:sz w:val="22"/>
        </w:rPr>
        <w:t xml:space="preserve">. The 15-year contract, with a </w:t>
      </w:r>
      <w:r w:rsidR="00736068">
        <w:rPr>
          <w:bCs/>
          <w:sz w:val="22"/>
        </w:rPr>
        <w:t>cumulative revenue</w:t>
      </w:r>
      <w:r>
        <w:rPr>
          <w:bCs/>
          <w:sz w:val="22"/>
        </w:rPr>
        <w:t xml:space="preserve"> of €6 billion, </w:t>
      </w:r>
      <w:r>
        <w:rPr>
          <w:b/>
          <w:bCs/>
          <w:sz w:val="22"/>
        </w:rPr>
        <w:t xml:space="preserve">is </w:t>
      </w:r>
      <w:r w:rsidR="00736068">
        <w:rPr>
          <w:b/>
          <w:bCs/>
          <w:sz w:val="22"/>
        </w:rPr>
        <w:t xml:space="preserve">Keolis’s </w:t>
      </w:r>
      <w:r>
        <w:rPr>
          <w:b/>
          <w:bCs/>
          <w:sz w:val="22"/>
        </w:rPr>
        <w:t>largest ever w</w:t>
      </w:r>
      <w:r w:rsidR="00736068">
        <w:rPr>
          <w:b/>
          <w:bCs/>
          <w:sz w:val="22"/>
        </w:rPr>
        <w:t>i</w:t>
      </w:r>
      <w:r>
        <w:rPr>
          <w:b/>
          <w:bCs/>
          <w:sz w:val="22"/>
        </w:rPr>
        <w:t xml:space="preserve">n </w:t>
      </w:r>
      <w:r>
        <w:rPr>
          <w:bCs/>
          <w:sz w:val="22"/>
        </w:rPr>
        <w:t xml:space="preserve">and </w:t>
      </w:r>
      <w:r w:rsidR="004D6C5F">
        <w:rPr>
          <w:bCs/>
          <w:sz w:val="22"/>
        </w:rPr>
        <w:t xml:space="preserve">its </w:t>
      </w:r>
      <w:r w:rsidRPr="0018553B">
        <w:rPr>
          <w:b/>
          <w:bCs/>
          <w:sz w:val="22"/>
        </w:rPr>
        <w:t>first rail contract in the UK as a majority partner</w:t>
      </w:r>
      <w:r>
        <w:rPr>
          <w:bCs/>
          <w:sz w:val="22"/>
        </w:rPr>
        <w:t xml:space="preserve">. The contract came into effect </w:t>
      </w:r>
      <w:r w:rsidR="00411227">
        <w:rPr>
          <w:bCs/>
          <w:sz w:val="22"/>
        </w:rPr>
        <w:t xml:space="preserve">in </w:t>
      </w:r>
      <w:r>
        <w:rPr>
          <w:bCs/>
          <w:sz w:val="22"/>
        </w:rPr>
        <w:t>October</w:t>
      </w:r>
      <w:r w:rsidR="00411227">
        <w:rPr>
          <w:bCs/>
          <w:sz w:val="22"/>
        </w:rPr>
        <w:t xml:space="preserve"> 2018</w:t>
      </w:r>
      <w:r>
        <w:rPr>
          <w:bCs/>
          <w:sz w:val="22"/>
        </w:rPr>
        <w:t xml:space="preserve"> and includes the operation, maintenance and renovation of the network, which </w:t>
      </w:r>
      <w:r w:rsidR="004D6C5F">
        <w:rPr>
          <w:bCs/>
          <w:sz w:val="22"/>
        </w:rPr>
        <w:t xml:space="preserve">comprises </w:t>
      </w:r>
      <w:r>
        <w:rPr>
          <w:bCs/>
          <w:sz w:val="22"/>
        </w:rPr>
        <w:t xml:space="preserve">1,623km of track, 128 trains, 247 stations and </w:t>
      </w:r>
      <w:r w:rsidR="004D6C5F">
        <w:rPr>
          <w:bCs/>
          <w:sz w:val="22"/>
        </w:rPr>
        <w:t>three</w:t>
      </w:r>
      <w:r>
        <w:rPr>
          <w:bCs/>
          <w:sz w:val="22"/>
        </w:rPr>
        <w:t xml:space="preserve"> depots.</w:t>
      </w:r>
    </w:p>
    <w:p w14:paraId="75E50375" w14:textId="77777777" w:rsidR="00205C72" w:rsidRDefault="00205C72" w:rsidP="008215CD">
      <w:pPr>
        <w:spacing w:line="276" w:lineRule="auto"/>
        <w:jc w:val="both"/>
        <w:rPr>
          <w:bCs/>
          <w:sz w:val="22"/>
        </w:rPr>
      </w:pPr>
    </w:p>
    <w:p w14:paraId="3A532DD3" w14:textId="52327B6D" w:rsidR="00D10072" w:rsidRPr="00B62060" w:rsidRDefault="00D10072" w:rsidP="008215CD">
      <w:pPr>
        <w:spacing w:line="276" w:lineRule="auto"/>
        <w:jc w:val="both"/>
        <w:rPr>
          <w:bCs/>
          <w:sz w:val="22"/>
        </w:rPr>
      </w:pPr>
      <w:r>
        <w:rPr>
          <w:bCs/>
          <w:sz w:val="22"/>
        </w:rPr>
        <w:t>2018</w:t>
      </w:r>
      <w:r w:rsidR="00915F54">
        <w:rPr>
          <w:bCs/>
          <w:sz w:val="22"/>
        </w:rPr>
        <w:t xml:space="preserve"> also saw</w:t>
      </w:r>
      <w:r w:rsidR="000153F1">
        <w:rPr>
          <w:bCs/>
          <w:sz w:val="22"/>
        </w:rPr>
        <w:t xml:space="preserve"> the </w:t>
      </w:r>
      <w:r w:rsidR="00915F54">
        <w:rPr>
          <w:bCs/>
          <w:sz w:val="22"/>
        </w:rPr>
        <w:t xml:space="preserve"> </w:t>
      </w:r>
      <w:r w:rsidR="000153F1">
        <w:rPr>
          <w:bCs/>
          <w:sz w:val="22"/>
        </w:rPr>
        <w:t>Keolis Group’s rail transport expertise bringing an improved operational performance to</w:t>
      </w:r>
      <w:r w:rsidR="00915F54">
        <w:rPr>
          <w:bCs/>
          <w:sz w:val="22"/>
        </w:rPr>
        <w:t xml:space="preserve"> the </w:t>
      </w:r>
      <w:r w:rsidR="00915F54">
        <w:rPr>
          <w:b/>
          <w:bCs/>
          <w:sz w:val="22"/>
        </w:rPr>
        <w:t>Boston suburban train network</w:t>
      </w:r>
      <w:r w:rsidR="000153F1">
        <w:rPr>
          <w:b/>
          <w:bCs/>
          <w:sz w:val="22"/>
        </w:rPr>
        <w:t xml:space="preserve"> </w:t>
      </w:r>
      <w:r w:rsidR="000153F1" w:rsidRPr="00B62060">
        <w:rPr>
          <w:bCs/>
          <w:sz w:val="22"/>
        </w:rPr>
        <w:t>as well as positive financial results for the f</w:t>
      </w:r>
      <w:r w:rsidR="000153F1">
        <w:rPr>
          <w:bCs/>
          <w:sz w:val="22"/>
        </w:rPr>
        <w:t>irst</w:t>
      </w:r>
      <w:r w:rsidR="000153F1" w:rsidRPr="00B62060">
        <w:rPr>
          <w:bCs/>
          <w:sz w:val="22"/>
        </w:rPr>
        <w:t xml:space="preserve"> time since Keolis began operating the network</w:t>
      </w:r>
      <w:r w:rsidR="00915F54">
        <w:rPr>
          <w:b/>
          <w:bCs/>
          <w:sz w:val="22"/>
        </w:rPr>
        <w:t>.</w:t>
      </w:r>
      <w:r w:rsidR="00B0554A">
        <w:rPr>
          <w:bCs/>
          <w:sz w:val="22"/>
        </w:rPr>
        <w:t xml:space="preserve"> </w:t>
      </w:r>
      <w:r w:rsidR="00E41686">
        <w:rPr>
          <w:bCs/>
          <w:sz w:val="22"/>
        </w:rPr>
        <w:t xml:space="preserve">Based on </w:t>
      </w:r>
      <w:r w:rsidR="00203FCE">
        <w:rPr>
          <w:bCs/>
          <w:sz w:val="22"/>
        </w:rPr>
        <w:t>higher levels of</w:t>
      </w:r>
      <w:r w:rsidR="00E41686">
        <w:rPr>
          <w:bCs/>
          <w:sz w:val="22"/>
        </w:rPr>
        <w:t xml:space="preserve"> </w:t>
      </w:r>
      <w:r>
        <w:rPr>
          <w:bCs/>
          <w:sz w:val="22"/>
        </w:rPr>
        <w:t xml:space="preserve">punctuality and reliability, </w:t>
      </w:r>
      <w:r w:rsidR="00E41686">
        <w:rPr>
          <w:bCs/>
          <w:sz w:val="22"/>
        </w:rPr>
        <w:t xml:space="preserve">this performance improvement has generated </w:t>
      </w:r>
      <w:r>
        <w:rPr>
          <w:bCs/>
          <w:sz w:val="22"/>
        </w:rPr>
        <w:t xml:space="preserve">a </w:t>
      </w:r>
      <w:r w:rsidRPr="0018553B">
        <w:rPr>
          <w:b/>
          <w:bCs/>
          <w:sz w:val="22"/>
        </w:rPr>
        <w:t>22% increase in passenger numbers</w:t>
      </w:r>
      <w:r>
        <w:rPr>
          <w:bCs/>
          <w:sz w:val="22"/>
        </w:rPr>
        <w:t xml:space="preserve"> since 2014.</w:t>
      </w:r>
    </w:p>
    <w:p w14:paraId="47A0853E" w14:textId="26408B5A" w:rsidR="00E41D21" w:rsidRDefault="00E41D21" w:rsidP="008215CD">
      <w:pPr>
        <w:spacing w:line="276" w:lineRule="auto"/>
        <w:jc w:val="both"/>
        <w:rPr>
          <w:i/>
          <w:color w:val="007F92" w:themeColor="text2" w:themeShade="BF"/>
          <w:sz w:val="24"/>
        </w:rPr>
      </w:pPr>
    </w:p>
    <w:p w14:paraId="781A777A" w14:textId="6A030E0E" w:rsidR="00E5696E" w:rsidRDefault="00E5696E" w:rsidP="008215CD">
      <w:pPr>
        <w:spacing w:line="276" w:lineRule="auto"/>
        <w:jc w:val="both"/>
        <w:rPr>
          <w:i/>
          <w:color w:val="007F92" w:themeColor="text2" w:themeShade="BF"/>
          <w:sz w:val="24"/>
        </w:rPr>
      </w:pPr>
      <w:r>
        <w:rPr>
          <w:i/>
          <w:color w:val="007F92" w:themeColor="text2" w:themeShade="BF"/>
          <w:sz w:val="24"/>
        </w:rPr>
        <w:t>Keolis confirms its status as</w:t>
      </w:r>
      <w:r w:rsidR="00C45EB4">
        <w:rPr>
          <w:i/>
          <w:color w:val="007F92" w:themeColor="text2" w:themeShade="BF"/>
          <w:sz w:val="24"/>
        </w:rPr>
        <w:t xml:space="preserve"> </w:t>
      </w:r>
      <w:r>
        <w:rPr>
          <w:i/>
          <w:color w:val="007F92" w:themeColor="text2" w:themeShade="BF"/>
          <w:sz w:val="24"/>
        </w:rPr>
        <w:t>global leader in tram</w:t>
      </w:r>
      <w:r w:rsidR="001F42FE">
        <w:rPr>
          <w:i/>
          <w:color w:val="007F92" w:themeColor="text2" w:themeShade="BF"/>
          <w:sz w:val="24"/>
        </w:rPr>
        <w:t>s</w:t>
      </w:r>
      <w:r>
        <w:rPr>
          <w:i/>
          <w:color w:val="007F92" w:themeColor="text2" w:themeShade="BF"/>
          <w:sz w:val="24"/>
        </w:rPr>
        <w:t xml:space="preserve">… </w:t>
      </w:r>
    </w:p>
    <w:p w14:paraId="1818D821" w14:textId="77777777" w:rsidR="00BB1DA3" w:rsidRPr="00256782" w:rsidRDefault="00BB1DA3" w:rsidP="00BB1DA3">
      <w:pPr>
        <w:spacing w:line="276" w:lineRule="auto"/>
        <w:jc w:val="both"/>
        <w:rPr>
          <w:sz w:val="10"/>
          <w:szCs w:val="10"/>
        </w:rPr>
      </w:pPr>
    </w:p>
    <w:p w14:paraId="26823117" w14:textId="5AABEA00" w:rsidR="00AF4881" w:rsidRDefault="00AF4881" w:rsidP="00751C6E">
      <w:pPr>
        <w:spacing w:line="276" w:lineRule="auto"/>
        <w:jc w:val="both"/>
        <w:rPr>
          <w:sz w:val="22"/>
        </w:rPr>
      </w:pPr>
      <w:r>
        <w:rPr>
          <w:sz w:val="22"/>
        </w:rPr>
        <w:t xml:space="preserve">Illustrating the </w:t>
      </w:r>
      <w:r w:rsidR="00624FAB">
        <w:rPr>
          <w:sz w:val="22"/>
        </w:rPr>
        <w:t xml:space="preserve">Keolis </w:t>
      </w:r>
      <w:r>
        <w:rPr>
          <w:sz w:val="22"/>
        </w:rPr>
        <w:t xml:space="preserve">Group’s capacity to propose mass transit solutions for all countries, </w:t>
      </w:r>
      <w:r>
        <w:rPr>
          <w:b/>
          <w:sz w:val="22"/>
        </w:rPr>
        <w:t>Shanghai Keolis</w:t>
      </w:r>
      <w:r>
        <w:rPr>
          <w:sz w:val="22"/>
        </w:rPr>
        <w:t xml:space="preserve">, the </w:t>
      </w:r>
      <w:r w:rsidRPr="0018553B">
        <w:rPr>
          <w:sz w:val="22"/>
        </w:rPr>
        <w:t xml:space="preserve">joint-venture formed by Shanghai </w:t>
      </w:r>
      <w:proofErr w:type="spellStart"/>
      <w:r w:rsidRPr="0018553B">
        <w:rPr>
          <w:sz w:val="22"/>
        </w:rPr>
        <w:t>Shentong</w:t>
      </w:r>
      <w:proofErr w:type="spellEnd"/>
      <w:r w:rsidRPr="0018553B">
        <w:rPr>
          <w:sz w:val="22"/>
        </w:rPr>
        <w:t xml:space="preserve"> Metro Group Co</w:t>
      </w:r>
      <w:r w:rsidRPr="00E41686">
        <w:rPr>
          <w:sz w:val="22"/>
        </w:rPr>
        <w:t xml:space="preserve">. </w:t>
      </w:r>
      <w:r w:rsidRPr="0018553B">
        <w:rPr>
          <w:sz w:val="22"/>
        </w:rPr>
        <w:t>Ltd.</w:t>
      </w:r>
      <w:r w:rsidRPr="00E41686">
        <w:rPr>
          <w:sz w:val="22"/>
        </w:rPr>
        <w:t xml:space="preserve"> </w:t>
      </w:r>
      <w:r>
        <w:rPr>
          <w:sz w:val="22"/>
        </w:rPr>
        <w:t xml:space="preserve">(51%) and </w:t>
      </w:r>
      <w:r w:rsidRPr="0018553B">
        <w:rPr>
          <w:sz w:val="22"/>
        </w:rPr>
        <w:t>Keolis</w:t>
      </w:r>
      <w:r>
        <w:rPr>
          <w:b/>
          <w:sz w:val="22"/>
        </w:rPr>
        <w:t xml:space="preserve"> </w:t>
      </w:r>
      <w:r>
        <w:rPr>
          <w:sz w:val="22"/>
        </w:rPr>
        <w:t xml:space="preserve">(49%), </w:t>
      </w:r>
      <w:r w:rsidR="0032013F">
        <w:rPr>
          <w:sz w:val="22"/>
        </w:rPr>
        <w:t>b</w:t>
      </w:r>
      <w:r w:rsidR="00577354">
        <w:rPr>
          <w:sz w:val="22"/>
        </w:rPr>
        <w:t>e</w:t>
      </w:r>
      <w:r w:rsidR="0032013F">
        <w:rPr>
          <w:sz w:val="22"/>
        </w:rPr>
        <w:t>gan</w:t>
      </w:r>
      <w:r w:rsidR="00F816B5">
        <w:rPr>
          <w:sz w:val="22"/>
        </w:rPr>
        <w:t xml:space="preserve"> operating </w:t>
      </w:r>
      <w:r>
        <w:rPr>
          <w:sz w:val="22"/>
        </w:rPr>
        <w:t xml:space="preserve">the first section of the </w:t>
      </w:r>
      <w:r w:rsidRPr="0018553B">
        <w:rPr>
          <w:b/>
          <w:sz w:val="22"/>
        </w:rPr>
        <w:t>Songjiang</w:t>
      </w:r>
      <w:r>
        <w:rPr>
          <w:sz w:val="22"/>
        </w:rPr>
        <w:t xml:space="preserve"> tram line, a district </w:t>
      </w:r>
      <w:r w:rsidR="0032013F">
        <w:rPr>
          <w:sz w:val="22"/>
        </w:rPr>
        <w:t xml:space="preserve">in </w:t>
      </w:r>
      <w:r w:rsidR="00E41686">
        <w:rPr>
          <w:sz w:val="22"/>
        </w:rPr>
        <w:t xml:space="preserve">the </w:t>
      </w:r>
      <w:r>
        <w:rPr>
          <w:sz w:val="22"/>
        </w:rPr>
        <w:t>south west of the city</w:t>
      </w:r>
      <w:r w:rsidR="0032013F">
        <w:rPr>
          <w:sz w:val="22"/>
        </w:rPr>
        <w:t xml:space="preserve">. Inaugurated in </w:t>
      </w:r>
      <w:r>
        <w:rPr>
          <w:sz w:val="22"/>
        </w:rPr>
        <w:t>December 2018</w:t>
      </w:r>
      <w:r w:rsidR="0032013F">
        <w:rPr>
          <w:sz w:val="22"/>
        </w:rPr>
        <w:t xml:space="preserve">, this </w:t>
      </w:r>
      <w:r>
        <w:rPr>
          <w:sz w:val="22"/>
        </w:rPr>
        <w:t xml:space="preserve">is the first tram operated by the </w:t>
      </w:r>
      <w:r w:rsidR="00624FAB">
        <w:rPr>
          <w:sz w:val="22"/>
        </w:rPr>
        <w:t xml:space="preserve">Keolis </w:t>
      </w:r>
      <w:r>
        <w:rPr>
          <w:sz w:val="22"/>
        </w:rPr>
        <w:t xml:space="preserve">Group in </w:t>
      </w:r>
      <w:r w:rsidRPr="0018553B">
        <w:rPr>
          <w:b/>
          <w:sz w:val="22"/>
        </w:rPr>
        <w:t>China</w:t>
      </w:r>
      <w:r>
        <w:rPr>
          <w:sz w:val="22"/>
        </w:rPr>
        <w:t>.</w:t>
      </w:r>
    </w:p>
    <w:p w14:paraId="7A59D9F0" w14:textId="77777777" w:rsidR="000B291E" w:rsidRDefault="000B291E" w:rsidP="00751C6E">
      <w:pPr>
        <w:spacing w:line="276" w:lineRule="auto"/>
        <w:jc w:val="both"/>
        <w:rPr>
          <w:sz w:val="22"/>
        </w:rPr>
      </w:pPr>
    </w:p>
    <w:p w14:paraId="009638AD" w14:textId="32AF0862" w:rsidR="004E0C9A" w:rsidRDefault="002F157D" w:rsidP="007920ED">
      <w:pPr>
        <w:spacing w:line="276" w:lineRule="auto"/>
        <w:jc w:val="both"/>
        <w:rPr>
          <w:sz w:val="22"/>
        </w:rPr>
      </w:pPr>
      <w:r>
        <w:rPr>
          <w:sz w:val="22"/>
        </w:rPr>
        <w:t xml:space="preserve">In Northern Europe, Keolis was once again selected to operate the </w:t>
      </w:r>
      <w:r>
        <w:rPr>
          <w:b/>
          <w:sz w:val="22"/>
        </w:rPr>
        <w:t>Bergen</w:t>
      </w:r>
      <w:r>
        <w:rPr>
          <w:sz w:val="22"/>
        </w:rPr>
        <w:t xml:space="preserve"> tram in </w:t>
      </w:r>
      <w:r>
        <w:rPr>
          <w:b/>
          <w:sz w:val="22"/>
        </w:rPr>
        <w:t xml:space="preserve">Norway </w:t>
      </w:r>
      <w:r>
        <w:rPr>
          <w:sz w:val="22"/>
        </w:rPr>
        <w:t xml:space="preserve">for another eight years. </w:t>
      </w:r>
      <w:r w:rsidR="00C456AE">
        <w:rPr>
          <w:b/>
          <w:sz w:val="22"/>
        </w:rPr>
        <w:t>User rates doubled between 2010 and 2018</w:t>
      </w:r>
      <w:r w:rsidR="007D5300">
        <w:rPr>
          <w:b/>
          <w:sz w:val="22"/>
        </w:rPr>
        <w:t>,</w:t>
      </w:r>
      <w:r w:rsidR="00C456AE">
        <w:rPr>
          <w:b/>
          <w:sz w:val="22"/>
        </w:rPr>
        <w:t xml:space="preserve"> </w:t>
      </w:r>
      <w:r w:rsidR="00C456AE" w:rsidRPr="00B62060">
        <w:rPr>
          <w:sz w:val="22"/>
        </w:rPr>
        <w:t>confirming</w:t>
      </w:r>
      <w:r w:rsidR="00C456AE">
        <w:rPr>
          <w:b/>
          <w:sz w:val="22"/>
        </w:rPr>
        <w:t xml:space="preserve"> </w:t>
      </w:r>
      <w:proofErr w:type="spellStart"/>
      <w:r>
        <w:rPr>
          <w:sz w:val="22"/>
        </w:rPr>
        <w:t>ts</w:t>
      </w:r>
      <w:proofErr w:type="spellEnd"/>
      <w:r>
        <w:rPr>
          <w:sz w:val="22"/>
        </w:rPr>
        <w:t xml:space="preserve"> success </w:t>
      </w:r>
      <w:r w:rsidR="00C456AE">
        <w:rPr>
          <w:sz w:val="22"/>
        </w:rPr>
        <w:t xml:space="preserve">with </w:t>
      </w:r>
      <w:r>
        <w:rPr>
          <w:sz w:val="22"/>
        </w:rPr>
        <w:t>passengers</w:t>
      </w:r>
      <w:r w:rsidR="00C456AE">
        <w:rPr>
          <w:sz w:val="22"/>
        </w:rPr>
        <w:t>.</w:t>
      </w:r>
    </w:p>
    <w:p w14:paraId="467EC059" w14:textId="77777777" w:rsidR="00203FCE" w:rsidRDefault="00203FCE" w:rsidP="007920ED">
      <w:pPr>
        <w:spacing w:line="276" w:lineRule="auto"/>
        <w:jc w:val="both"/>
        <w:rPr>
          <w:sz w:val="22"/>
        </w:rPr>
      </w:pPr>
    </w:p>
    <w:p w14:paraId="183390A3" w14:textId="616CDE48" w:rsidR="007920ED" w:rsidRPr="007920ED" w:rsidRDefault="004E0C9A" w:rsidP="007920ED">
      <w:pPr>
        <w:spacing w:line="276" w:lineRule="auto"/>
        <w:jc w:val="both"/>
        <w:rPr>
          <w:sz w:val="22"/>
        </w:rPr>
      </w:pPr>
      <w:r>
        <w:rPr>
          <w:sz w:val="22"/>
        </w:rPr>
        <w:t xml:space="preserve">In </w:t>
      </w:r>
      <w:r>
        <w:rPr>
          <w:b/>
          <w:sz w:val="22"/>
        </w:rPr>
        <w:t>Denmark</w:t>
      </w:r>
      <w:r>
        <w:rPr>
          <w:sz w:val="22"/>
        </w:rPr>
        <w:t xml:space="preserve">, the </w:t>
      </w:r>
      <w:r w:rsidR="00624FAB">
        <w:rPr>
          <w:sz w:val="22"/>
        </w:rPr>
        <w:t xml:space="preserve">Keolis </w:t>
      </w:r>
      <w:r>
        <w:rPr>
          <w:sz w:val="22"/>
        </w:rPr>
        <w:t xml:space="preserve">Group </w:t>
      </w:r>
      <w:r w:rsidR="00E421AD">
        <w:rPr>
          <w:sz w:val="22"/>
        </w:rPr>
        <w:t>was</w:t>
      </w:r>
      <w:r>
        <w:rPr>
          <w:sz w:val="22"/>
        </w:rPr>
        <w:t xml:space="preserve"> chosen by the public transport authority of </w:t>
      </w:r>
      <w:r>
        <w:rPr>
          <w:b/>
          <w:sz w:val="22"/>
        </w:rPr>
        <w:t>Odense</w:t>
      </w:r>
      <w:r>
        <w:rPr>
          <w:sz w:val="22"/>
        </w:rPr>
        <w:t xml:space="preserve"> to operate and maintain its future tram network</w:t>
      </w:r>
      <w:r w:rsidR="00E41686">
        <w:rPr>
          <w:sz w:val="22"/>
        </w:rPr>
        <w:t xml:space="preserve">, </w:t>
      </w:r>
      <w:r w:rsidR="00C456AE">
        <w:rPr>
          <w:sz w:val="22"/>
        </w:rPr>
        <w:t>which</w:t>
      </w:r>
      <w:r w:rsidR="00E41686">
        <w:rPr>
          <w:sz w:val="22"/>
        </w:rPr>
        <w:t xml:space="preserve"> is scheduled </w:t>
      </w:r>
      <w:r w:rsidR="00C456AE">
        <w:rPr>
          <w:sz w:val="22"/>
        </w:rPr>
        <w:t xml:space="preserve">to launch in </w:t>
      </w:r>
      <w:r w:rsidR="00E41686">
        <w:rPr>
          <w:sz w:val="22"/>
        </w:rPr>
        <w:t xml:space="preserve"> 2021</w:t>
      </w:r>
      <w:r>
        <w:rPr>
          <w:sz w:val="22"/>
        </w:rPr>
        <w:t xml:space="preserve">. The </w:t>
      </w:r>
      <w:r w:rsidR="00E41686">
        <w:rPr>
          <w:sz w:val="22"/>
        </w:rPr>
        <w:t>fifteen</w:t>
      </w:r>
      <w:r>
        <w:rPr>
          <w:sz w:val="22"/>
        </w:rPr>
        <w:t xml:space="preserve">-year contract will generate a </w:t>
      </w:r>
      <w:r w:rsidR="00BB0242">
        <w:rPr>
          <w:sz w:val="22"/>
        </w:rPr>
        <w:t>cumulative revenue</w:t>
      </w:r>
      <w:r>
        <w:rPr>
          <w:sz w:val="22"/>
        </w:rPr>
        <w:t xml:space="preserve"> of approximately €230 M. This is the country’s second tram network, after </w:t>
      </w:r>
      <w:r w:rsidRPr="0018553B">
        <w:rPr>
          <w:b/>
          <w:sz w:val="22"/>
        </w:rPr>
        <w:t>Aarhus</w:t>
      </w:r>
      <w:r>
        <w:rPr>
          <w:sz w:val="22"/>
        </w:rPr>
        <w:t>, where Keolis extended the tram line from 12 to 32 km in August 2018.</w:t>
      </w:r>
    </w:p>
    <w:p w14:paraId="29B850D6" w14:textId="4BEA61A1" w:rsidR="007920ED" w:rsidRDefault="007920ED" w:rsidP="00751C6E">
      <w:pPr>
        <w:spacing w:line="276" w:lineRule="auto"/>
        <w:jc w:val="both"/>
        <w:rPr>
          <w:sz w:val="22"/>
        </w:rPr>
      </w:pPr>
    </w:p>
    <w:p w14:paraId="171A4259" w14:textId="1D8560EC" w:rsidR="00BC7304" w:rsidRDefault="00C456AE" w:rsidP="00751C6E">
      <w:pPr>
        <w:spacing w:line="276" w:lineRule="auto"/>
        <w:jc w:val="both"/>
        <w:rPr>
          <w:sz w:val="22"/>
        </w:rPr>
      </w:pPr>
      <w:r>
        <w:rPr>
          <w:sz w:val="22"/>
        </w:rPr>
        <w:t xml:space="preserve">In </w:t>
      </w:r>
      <w:r w:rsidRPr="00B62060">
        <w:rPr>
          <w:b/>
          <w:sz w:val="22"/>
        </w:rPr>
        <w:t>Australia</w:t>
      </w:r>
      <w:r>
        <w:rPr>
          <w:sz w:val="22"/>
        </w:rPr>
        <w:t xml:space="preserve">, </w:t>
      </w:r>
      <w:r w:rsidR="00BC7304">
        <w:rPr>
          <w:sz w:val="22"/>
        </w:rPr>
        <w:t xml:space="preserve">2018 also saw the </w:t>
      </w:r>
      <w:r>
        <w:rPr>
          <w:sz w:val="22"/>
        </w:rPr>
        <w:t xml:space="preserve">start </w:t>
      </w:r>
      <w:r w:rsidR="00BC7304">
        <w:rPr>
          <w:sz w:val="22"/>
        </w:rPr>
        <w:t xml:space="preserve">of the </w:t>
      </w:r>
      <w:r w:rsidR="00BC7304" w:rsidRPr="0018553B">
        <w:rPr>
          <w:sz w:val="22"/>
        </w:rPr>
        <w:t>new</w:t>
      </w:r>
      <w:r w:rsidR="00BC7304">
        <w:rPr>
          <w:b/>
          <w:sz w:val="22"/>
        </w:rPr>
        <w:t xml:space="preserve"> Melbourne </w:t>
      </w:r>
      <w:r w:rsidR="00BC7304" w:rsidRPr="0018553B">
        <w:rPr>
          <w:sz w:val="22"/>
        </w:rPr>
        <w:t>tram contract</w:t>
      </w:r>
      <w:r w:rsidR="00BC7304">
        <w:rPr>
          <w:sz w:val="22"/>
        </w:rPr>
        <w:t>,</w:t>
      </w:r>
      <w:r w:rsidR="00E41686">
        <w:rPr>
          <w:sz w:val="22"/>
        </w:rPr>
        <w:t xml:space="preserve"> </w:t>
      </w:r>
      <w:r>
        <w:rPr>
          <w:sz w:val="22"/>
        </w:rPr>
        <w:t xml:space="preserve">following its renewal for </w:t>
      </w:r>
      <w:r w:rsidR="00BC7304">
        <w:rPr>
          <w:sz w:val="22"/>
        </w:rPr>
        <w:t xml:space="preserve">seven years in 2017. Operated </w:t>
      </w:r>
      <w:r>
        <w:rPr>
          <w:sz w:val="22"/>
        </w:rPr>
        <w:t xml:space="preserve">by </w:t>
      </w:r>
      <w:r w:rsidR="00BC7304">
        <w:rPr>
          <w:sz w:val="22"/>
        </w:rPr>
        <w:t xml:space="preserve">the </w:t>
      </w:r>
      <w:r w:rsidR="00624FAB">
        <w:rPr>
          <w:sz w:val="22"/>
        </w:rPr>
        <w:t xml:space="preserve">Keolis </w:t>
      </w:r>
      <w:r w:rsidR="00BC7304">
        <w:rPr>
          <w:sz w:val="22"/>
        </w:rPr>
        <w:t xml:space="preserve">Group’s Australian subsidiary </w:t>
      </w:r>
      <w:r>
        <w:rPr>
          <w:b/>
          <w:sz w:val="22"/>
        </w:rPr>
        <w:t>Keolis Downer</w:t>
      </w:r>
      <w:r>
        <w:rPr>
          <w:sz w:val="22"/>
        </w:rPr>
        <w:t xml:space="preserve"> </w:t>
      </w:r>
      <w:r w:rsidR="00BC7304">
        <w:rPr>
          <w:sz w:val="22"/>
        </w:rPr>
        <w:t xml:space="preserve">since </w:t>
      </w:r>
      <w:r w:rsidRPr="004B620C">
        <w:rPr>
          <w:sz w:val="22"/>
        </w:rPr>
        <w:t>2009</w:t>
      </w:r>
      <w:r w:rsidR="00BC7304">
        <w:rPr>
          <w:sz w:val="22"/>
        </w:rPr>
        <w:t>, this</w:t>
      </w:r>
      <w:r w:rsidR="00BB0242">
        <w:rPr>
          <w:sz w:val="22"/>
        </w:rPr>
        <w:t xml:space="preserve"> is</w:t>
      </w:r>
      <w:r w:rsidR="00BC7304">
        <w:rPr>
          <w:sz w:val="22"/>
        </w:rPr>
        <w:t xml:space="preserve"> the world’s largest network. The project notably includes the </w:t>
      </w:r>
      <w:r w:rsidR="00BB0242">
        <w:rPr>
          <w:sz w:val="22"/>
        </w:rPr>
        <w:t xml:space="preserve">overhaul </w:t>
      </w:r>
      <w:r w:rsidR="00BC7304">
        <w:rPr>
          <w:sz w:val="22"/>
        </w:rPr>
        <w:t xml:space="preserve">of more than 85% of the fleet over the next four years, and </w:t>
      </w:r>
      <w:r w:rsidR="00BB0242">
        <w:rPr>
          <w:sz w:val="22"/>
        </w:rPr>
        <w:t xml:space="preserve">track </w:t>
      </w:r>
      <w:r w:rsidR="00BC7304">
        <w:rPr>
          <w:sz w:val="22"/>
        </w:rPr>
        <w:t xml:space="preserve">modernisation work. </w:t>
      </w:r>
    </w:p>
    <w:p w14:paraId="5362CBF7" w14:textId="715A230A" w:rsidR="00E41686" w:rsidRDefault="00E41686" w:rsidP="00751C6E">
      <w:pPr>
        <w:spacing w:line="276" w:lineRule="auto"/>
        <w:jc w:val="both"/>
        <w:rPr>
          <w:sz w:val="22"/>
        </w:rPr>
      </w:pPr>
      <w:r>
        <w:rPr>
          <w:sz w:val="22"/>
        </w:rPr>
        <w:t xml:space="preserve">At the beginning of the year, </w:t>
      </w:r>
      <w:r>
        <w:rPr>
          <w:b/>
          <w:sz w:val="22"/>
        </w:rPr>
        <w:t>Keolis Downer</w:t>
      </w:r>
      <w:r>
        <w:rPr>
          <w:sz w:val="22"/>
        </w:rPr>
        <w:t xml:space="preserve">, which already operates buses, real-time on-demand transport and ferries in </w:t>
      </w:r>
      <w:r>
        <w:rPr>
          <w:b/>
          <w:sz w:val="22"/>
        </w:rPr>
        <w:t>Newcastle</w:t>
      </w:r>
      <w:r>
        <w:rPr>
          <w:sz w:val="22"/>
        </w:rPr>
        <w:t xml:space="preserve">, successfully launched the city’s new tram service. This multimodal transport network is the first to be entrusted to a private operator in </w:t>
      </w:r>
      <w:r>
        <w:rPr>
          <w:b/>
          <w:sz w:val="22"/>
        </w:rPr>
        <w:t>Australia</w:t>
      </w:r>
      <w:r>
        <w:rPr>
          <w:sz w:val="22"/>
        </w:rPr>
        <w:t>.</w:t>
      </w:r>
    </w:p>
    <w:p w14:paraId="79B03680" w14:textId="50BDA971" w:rsidR="00BC7304" w:rsidRDefault="00BC7304" w:rsidP="00751C6E">
      <w:pPr>
        <w:spacing w:line="276" w:lineRule="auto"/>
        <w:jc w:val="both"/>
        <w:rPr>
          <w:sz w:val="22"/>
        </w:rPr>
      </w:pPr>
      <w:r>
        <w:rPr>
          <w:sz w:val="22"/>
        </w:rPr>
        <w:t xml:space="preserve"> </w:t>
      </w:r>
    </w:p>
    <w:p w14:paraId="39760C28" w14:textId="34BCDDDF" w:rsidR="007920ED" w:rsidRPr="00D53EF0" w:rsidRDefault="0018304D" w:rsidP="00751C6E">
      <w:pPr>
        <w:spacing w:line="276" w:lineRule="auto"/>
        <w:jc w:val="both"/>
        <w:rPr>
          <w:i/>
          <w:color w:val="007F92" w:themeColor="text2" w:themeShade="BF"/>
          <w:sz w:val="24"/>
        </w:rPr>
      </w:pPr>
      <w:r>
        <w:rPr>
          <w:i/>
          <w:color w:val="007F92" w:themeColor="text2" w:themeShade="BF"/>
          <w:sz w:val="24"/>
        </w:rPr>
        <w:t>… and leader in automated metros</w:t>
      </w:r>
    </w:p>
    <w:p w14:paraId="36CB32FE" w14:textId="77777777" w:rsidR="00AF4881" w:rsidRPr="007F244C" w:rsidRDefault="00AF4881" w:rsidP="00751C6E">
      <w:pPr>
        <w:spacing w:line="276" w:lineRule="auto"/>
        <w:jc w:val="both"/>
        <w:rPr>
          <w:sz w:val="10"/>
          <w:highlight w:val="yellow"/>
        </w:rPr>
      </w:pPr>
    </w:p>
    <w:p w14:paraId="2F533558" w14:textId="28F69465" w:rsidR="00776C04" w:rsidRDefault="00776C04" w:rsidP="00751C6E">
      <w:pPr>
        <w:spacing w:line="276" w:lineRule="auto"/>
        <w:jc w:val="both"/>
        <w:rPr>
          <w:sz w:val="22"/>
        </w:rPr>
      </w:pPr>
      <w:r>
        <w:rPr>
          <w:sz w:val="22"/>
        </w:rPr>
        <w:t>2018 was also the year of preparation and launch of the automated metro lines in Asia and the Middle East.</w:t>
      </w:r>
    </w:p>
    <w:p w14:paraId="7DE090F5" w14:textId="2B2608DB" w:rsidR="00F10E81" w:rsidRDefault="00F10E81" w:rsidP="00751C6E">
      <w:pPr>
        <w:spacing w:line="276" w:lineRule="auto"/>
        <w:jc w:val="both"/>
        <w:rPr>
          <w:sz w:val="22"/>
        </w:rPr>
      </w:pPr>
    </w:p>
    <w:p w14:paraId="0D6A8042" w14:textId="20E3F82E" w:rsidR="00004217" w:rsidRDefault="00F10E81" w:rsidP="00BF4F06">
      <w:pPr>
        <w:spacing w:line="276" w:lineRule="auto"/>
        <w:jc w:val="both"/>
        <w:rPr>
          <w:sz w:val="22"/>
        </w:rPr>
      </w:pPr>
      <w:r>
        <w:rPr>
          <w:sz w:val="22"/>
        </w:rPr>
        <w:t>At the end of 2017, in</w:t>
      </w:r>
      <w:r>
        <w:rPr>
          <w:b/>
          <w:sz w:val="22"/>
        </w:rPr>
        <w:t xml:space="preserve"> Qatar</w:t>
      </w:r>
      <w:r>
        <w:rPr>
          <w:sz w:val="22"/>
        </w:rPr>
        <w:t xml:space="preserve">, Keolis won a €3 billion contract as part of the </w:t>
      </w:r>
      <w:r w:rsidRPr="0018553B">
        <w:rPr>
          <w:sz w:val="22"/>
        </w:rPr>
        <w:t>Keolis, RATP Dev and Hamad Group consortium</w:t>
      </w:r>
      <w:r w:rsidRPr="00E41686">
        <w:rPr>
          <w:sz w:val="22"/>
        </w:rPr>
        <w:t xml:space="preserve"> t</w:t>
      </w:r>
      <w:r>
        <w:rPr>
          <w:sz w:val="22"/>
        </w:rPr>
        <w:t xml:space="preserve">o operate and maintain the </w:t>
      </w:r>
      <w:r w:rsidRPr="0018553B">
        <w:rPr>
          <w:b/>
          <w:sz w:val="22"/>
        </w:rPr>
        <w:t>Doha</w:t>
      </w:r>
      <w:r>
        <w:rPr>
          <w:sz w:val="22"/>
        </w:rPr>
        <w:t xml:space="preserve"> automated metro and </w:t>
      </w:r>
      <w:r w:rsidRPr="0018553B">
        <w:rPr>
          <w:b/>
          <w:sz w:val="22"/>
        </w:rPr>
        <w:t>Lusail</w:t>
      </w:r>
      <w:r>
        <w:rPr>
          <w:sz w:val="22"/>
        </w:rPr>
        <w:t xml:space="preserve"> tram. </w:t>
      </w:r>
      <w:r w:rsidR="00E41686">
        <w:rPr>
          <w:sz w:val="22"/>
        </w:rPr>
        <w:t>A</w:t>
      </w:r>
      <w:r>
        <w:rPr>
          <w:sz w:val="22"/>
        </w:rPr>
        <w:t>lmost 1,000 employees have been recruited and trained, with a final objective of 3,000 employees</w:t>
      </w:r>
      <w:r w:rsidR="00E41686">
        <w:rPr>
          <w:sz w:val="22"/>
        </w:rPr>
        <w:t xml:space="preserve">. The network </w:t>
      </w:r>
      <w:r>
        <w:rPr>
          <w:sz w:val="22"/>
        </w:rPr>
        <w:t xml:space="preserve">will be deployed in phases between now and the Football World Cup </w:t>
      </w:r>
      <w:r>
        <w:rPr>
          <w:sz w:val="22"/>
        </w:rPr>
        <w:lastRenderedPageBreak/>
        <w:t>in 2022</w:t>
      </w:r>
      <w:r w:rsidR="00E41686">
        <w:rPr>
          <w:sz w:val="22"/>
        </w:rPr>
        <w:t xml:space="preserve"> and will </w:t>
      </w:r>
      <w:r>
        <w:rPr>
          <w:sz w:val="22"/>
        </w:rPr>
        <w:t xml:space="preserve">be able to transport 650,000 passengers per day. It will be </w:t>
      </w:r>
      <w:r w:rsidR="00C456AE">
        <w:rPr>
          <w:sz w:val="22"/>
        </w:rPr>
        <w:t>ope</w:t>
      </w:r>
      <w:r w:rsidR="007D5300">
        <w:rPr>
          <w:sz w:val="22"/>
        </w:rPr>
        <w:t>ned</w:t>
      </w:r>
      <w:r w:rsidR="00C456AE">
        <w:rPr>
          <w:sz w:val="22"/>
        </w:rPr>
        <w:t xml:space="preserve"> to the public imminently. </w:t>
      </w:r>
    </w:p>
    <w:p w14:paraId="48A15513" w14:textId="77777777" w:rsidR="00BF4F06" w:rsidRDefault="00BF4F06" w:rsidP="00452051">
      <w:pPr>
        <w:spacing w:line="276" w:lineRule="auto"/>
        <w:jc w:val="both"/>
        <w:rPr>
          <w:sz w:val="22"/>
        </w:rPr>
      </w:pPr>
    </w:p>
    <w:p w14:paraId="2CA81D01" w14:textId="64B4CA43" w:rsidR="000A2ADF" w:rsidRDefault="00327ACC" w:rsidP="000C779F">
      <w:pPr>
        <w:spacing w:line="276" w:lineRule="auto"/>
        <w:jc w:val="both"/>
        <w:rPr>
          <w:sz w:val="22"/>
        </w:rPr>
      </w:pPr>
      <w:r>
        <w:rPr>
          <w:sz w:val="22"/>
        </w:rPr>
        <w:t xml:space="preserve">In </w:t>
      </w:r>
      <w:r>
        <w:rPr>
          <w:b/>
          <w:sz w:val="22"/>
        </w:rPr>
        <w:t>China</w:t>
      </w:r>
      <w:r>
        <w:rPr>
          <w:sz w:val="22"/>
        </w:rPr>
        <w:t xml:space="preserve">, the </w:t>
      </w:r>
      <w:r w:rsidR="00624FAB">
        <w:rPr>
          <w:sz w:val="22"/>
        </w:rPr>
        <w:t xml:space="preserve">Keolis </w:t>
      </w:r>
      <w:r>
        <w:rPr>
          <w:sz w:val="22"/>
        </w:rPr>
        <w:t xml:space="preserve">Group continues </w:t>
      </w:r>
      <w:r w:rsidR="00C456AE">
        <w:rPr>
          <w:sz w:val="22"/>
        </w:rPr>
        <w:t>to develop</w:t>
      </w:r>
      <w:r>
        <w:rPr>
          <w:sz w:val="22"/>
        </w:rPr>
        <w:t xml:space="preserve">. </w:t>
      </w:r>
      <w:r>
        <w:rPr>
          <w:b/>
          <w:sz w:val="22"/>
        </w:rPr>
        <w:t xml:space="preserve">Shanghai Keolis </w:t>
      </w:r>
      <w:r>
        <w:rPr>
          <w:sz w:val="22"/>
        </w:rPr>
        <w:t xml:space="preserve">began to operate the </w:t>
      </w:r>
      <w:proofErr w:type="spellStart"/>
      <w:r>
        <w:rPr>
          <w:b/>
          <w:bCs/>
          <w:sz w:val="22"/>
        </w:rPr>
        <w:t>Pujiang</w:t>
      </w:r>
      <w:proofErr w:type="spellEnd"/>
      <w:r>
        <w:rPr>
          <w:b/>
          <w:bCs/>
          <w:sz w:val="22"/>
        </w:rPr>
        <w:t xml:space="preserve"> </w:t>
      </w:r>
      <w:r>
        <w:rPr>
          <w:sz w:val="22"/>
        </w:rPr>
        <w:t xml:space="preserve">driverless metro line in March 2018. It is Shanghai’s first driverless automated metro line, covering 6.7km and connecting six </w:t>
      </w:r>
      <w:proofErr w:type="spellStart"/>
      <w:r>
        <w:rPr>
          <w:sz w:val="22"/>
        </w:rPr>
        <w:t>overground</w:t>
      </w:r>
      <w:proofErr w:type="spellEnd"/>
      <w:r>
        <w:rPr>
          <w:sz w:val="22"/>
        </w:rPr>
        <w:t xml:space="preserve"> stations to optimise service to the </w:t>
      </w:r>
      <w:proofErr w:type="spellStart"/>
      <w:r>
        <w:rPr>
          <w:sz w:val="22"/>
        </w:rPr>
        <w:t>Pujiang</w:t>
      </w:r>
      <w:proofErr w:type="spellEnd"/>
      <w:r>
        <w:rPr>
          <w:sz w:val="22"/>
        </w:rPr>
        <w:t xml:space="preserve"> district in the south of the city.</w:t>
      </w:r>
    </w:p>
    <w:p w14:paraId="01A3D3A3" w14:textId="77777777" w:rsidR="00C76857" w:rsidRPr="00C76857" w:rsidRDefault="00C76857" w:rsidP="000C779F">
      <w:pPr>
        <w:spacing w:line="276" w:lineRule="auto"/>
        <w:jc w:val="both"/>
        <w:rPr>
          <w:sz w:val="6"/>
          <w:szCs w:val="6"/>
        </w:rPr>
      </w:pPr>
    </w:p>
    <w:p w14:paraId="4D34FC07" w14:textId="19332DD1" w:rsidR="003F0BF2" w:rsidRDefault="003F0BF2" w:rsidP="003F0BF2">
      <w:pPr>
        <w:spacing w:line="276" w:lineRule="auto"/>
        <w:jc w:val="both"/>
        <w:rPr>
          <w:sz w:val="22"/>
        </w:rPr>
      </w:pPr>
      <w:r>
        <w:rPr>
          <w:sz w:val="22"/>
        </w:rPr>
        <w:t>In 2019, Keolis will also start</w:t>
      </w:r>
      <w:r w:rsidR="00433BAE">
        <w:rPr>
          <w:sz w:val="22"/>
        </w:rPr>
        <w:t xml:space="preserve"> </w:t>
      </w:r>
      <w:r>
        <w:rPr>
          <w:sz w:val="22"/>
        </w:rPr>
        <w:t>operati</w:t>
      </w:r>
      <w:r w:rsidR="00433BAE">
        <w:rPr>
          <w:sz w:val="22"/>
        </w:rPr>
        <w:t>ng</w:t>
      </w:r>
      <w:r>
        <w:rPr>
          <w:sz w:val="22"/>
        </w:rPr>
        <w:t xml:space="preserve"> the metro </w:t>
      </w:r>
      <w:r w:rsidR="00433BAE">
        <w:rPr>
          <w:sz w:val="22"/>
        </w:rPr>
        <w:t>for T</w:t>
      </w:r>
      <w:r>
        <w:rPr>
          <w:sz w:val="22"/>
        </w:rPr>
        <w:t xml:space="preserve">erminal 3 of </w:t>
      </w:r>
      <w:r w:rsidRPr="0018553B">
        <w:rPr>
          <w:b/>
          <w:sz w:val="22"/>
        </w:rPr>
        <w:t>Pudong airport</w:t>
      </w:r>
      <w:r>
        <w:rPr>
          <w:sz w:val="22"/>
        </w:rPr>
        <w:t>.</w:t>
      </w:r>
    </w:p>
    <w:p w14:paraId="5B7D4E5C" w14:textId="194E4484" w:rsidR="000C779F" w:rsidRPr="000C779F" w:rsidRDefault="000C779F" w:rsidP="000C779F">
      <w:pPr>
        <w:spacing w:line="276" w:lineRule="auto"/>
        <w:jc w:val="both"/>
        <w:rPr>
          <w:rFonts w:ascii="Arial" w:eastAsia="Arial" w:hAnsi="Arial" w:cs="Arial"/>
          <w:color w:val="010101"/>
        </w:rPr>
      </w:pPr>
      <w:r>
        <w:rPr>
          <w:rFonts w:ascii="Arial" w:hAnsi="Arial"/>
          <w:color w:val="010101"/>
          <w:sz w:val="22"/>
        </w:rPr>
        <w:t xml:space="preserve">The project aims to </w:t>
      </w:r>
      <w:r w:rsidR="00433BAE">
        <w:rPr>
          <w:rFonts w:ascii="Arial" w:hAnsi="Arial"/>
          <w:color w:val="010101"/>
          <w:sz w:val="22"/>
        </w:rPr>
        <w:t xml:space="preserve">support </w:t>
      </w:r>
      <w:r>
        <w:rPr>
          <w:rFonts w:ascii="Arial" w:hAnsi="Arial"/>
          <w:color w:val="010101"/>
          <w:sz w:val="22"/>
        </w:rPr>
        <w:t xml:space="preserve">the rapid development of the airport, which is expected to </w:t>
      </w:r>
      <w:r w:rsidR="00433BAE">
        <w:rPr>
          <w:rFonts w:ascii="Arial" w:hAnsi="Arial"/>
          <w:color w:val="010101"/>
          <w:sz w:val="22"/>
        </w:rPr>
        <w:t xml:space="preserve">receive </w:t>
      </w:r>
      <w:r>
        <w:rPr>
          <w:rFonts w:ascii="Arial" w:hAnsi="Arial"/>
          <w:color w:val="010101"/>
          <w:sz w:val="22"/>
        </w:rPr>
        <w:t>some 80 million annual passengers over the next few years compared with 60 million today. The 20-year contract includes several phases, the first of which will begin this summer.</w:t>
      </w:r>
    </w:p>
    <w:p w14:paraId="73E66159" w14:textId="77777777" w:rsidR="003F0BF2" w:rsidRDefault="003F0BF2" w:rsidP="00D4797B">
      <w:pPr>
        <w:spacing w:line="276" w:lineRule="auto"/>
        <w:jc w:val="both"/>
        <w:rPr>
          <w:b/>
          <w:sz w:val="22"/>
        </w:rPr>
      </w:pPr>
    </w:p>
    <w:p w14:paraId="2DA7DC81" w14:textId="5B715A5B" w:rsidR="00D4797B" w:rsidRDefault="004D0605" w:rsidP="00D4797B">
      <w:pPr>
        <w:spacing w:line="276" w:lineRule="auto"/>
        <w:jc w:val="both"/>
        <w:rPr>
          <w:sz w:val="22"/>
        </w:rPr>
      </w:pPr>
      <w:r>
        <w:rPr>
          <w:b/>
          <w:sz w:val="22"/>
        </w:rPr>
        <w:t>In India,</w:t>
      </w:r>
      <w:r>
        <w:rPr>
          <w:sz w:val="22"/>
        </w:rPr>
        <w:t xml:space="preserve"> two new sections of the </w:t>
      </w:r>
      <w:r w:rsidRPr="0018553B">
        <w:rPr>
          <w:b/>
          <w:sz w:val="22"/>
        </w:rPr>
        <w:t>Hyderabad</w:t>
      </w:r>
      <w:r>
        <w:rPr>
          <w:sz w:val="22"/>
        </w:rPr>
        <w:t xml:space="preserve"> automated metro were opened, and the network is now the second largest in the country in terms of size. With these extensions, the metro now links the east to the west of the city, serving the major business district, HITEC City, which attracts many new companies and residents to Hyderabad every year. When the 67km line is completed this year, it will carry over a million passengers every day.</w:t>
      </w:r>
    </w:p>
    <w:p w14:paraId="13FE089B" w14:textId="139CE692" w:rsidR="006F1C6B" w:rsidRDefault="006F1C6B" w:rsidP="00D4797B">
      <w:pPr>
        <w:spacing w:line="276" w:lineRule="auto"/>
        <w:jc w:val="both"/>
        <w:rPr>
          <w:sz w:val="22"/>
        </w:rPr>
      </w:pPr>
    </w:p>
    <w:p w14:paraId="2534DC7A" w14:textId="77777777" w:rsidR="00ED0ACD" w:rsidRDefault="00ED0ACD" w:rsidP="00D4797B">
      <w:pPr>
        <w:spacing w:line="276" w:lineRule="auto"/>
        <w:jc w:val="both"/>
        <w:rPr>
          <w:sz w:val="22"/>
        </w:rPr>
      </w:pPr>
    </w:p>
    <w:p w14:paraId="5B2E198F" w14:textId="77777777" w:rsidR="00A4048B" w:rsidRDefault="00A4048B">
      <w:pPr>
        <w:spacing w:after="160" w:line="259" w:lineRule="auto"/>
        <w:rPr>
          <w:i/>
          <w:color w:val="007F92" w:themeColor="text2" w:themeShade="BF"/>
          <w:sz w:val="24"/>
        </w:rPr>
      </w:pPr>
      <w:r>
        <w:rPr>
          <w:i/>
          <w:color w:val="007F92" w:themeColor="text2" w:themeShade="BF"/>
          <w:sz w:val="24"/>
        </w:rPr>
        <w:br w:type="page"/>
      </w:r>
    </w:p>
    <w:p w14:paraId="71617432" w14:textId="7A48F00D" w:rsidR="006F1C6B" w:rsidRPr="00737EA3" w:rsidRDefault="006F1C6B" w:rsidP="006F1C6B">
      <w:pPr>
        <w:spacing w:line="276" w:lineRule="auto"/>
        <w:jc w:val="both"/>
        <w:rPr>
          <w:i/>
          <w:color w:val="007F92" w:themeColor="text2" w:themeShade="BF"/>
          <w:sz w:val="24"/>
        </w:rPr>
      </w:pPr>
      <w:bookmarkStart w:id="1" w:name="_GoBack"/>
      <w:bookmarkEnd w:id="1"/>
      <w:r>
        <w:rPr>
          <w:i/>
          <w:color w:val="007F92" w:themeColor="text2" w:themeShade="BF"/>
          <w:sz w:val="24"/>
        </w:rPr>
        <w:t xml:space="preserve">External growth </w:t>
      </w:r>
    </w:p>
    <w:p w14:paraId="42B39DF2" w14:textId="77777777" w:rsidR="006F1C6B" w:rsidRPr="00931454" w:rsidRDefault="006F1C6B" w:rsidP="006F1C6B">
      <w:pPr>
        <w:spacing w:line="276" w:lineRule="auto"/>
        <w:jc w:val="both"/>
        <w:rPr>
          <w:color w:val="FF0000"/>
          <w:sz w:val="10"/>
          <w:szCs w:val="10"/>
        </w:rPr>
      </w:pPr>
    </w:p>
    <w:p w14:paraId="7FBF2972" w14:textId="75081751" w:rsidR="006F1C6B" w:rsidRPr="00EA2045" w:rsidRDefault="006F1C6B" w:rsidP="006F1C6B">
      <w:pPr>
        <w:spacing w:line="276" w:lineRule="auto"/>
        <w:jc w:val="both"/>
        <w:rPr>
          <w:color w:val="000000" w:themeColor="text1"/>
          <w:sz w:val="22"/>
        </w:rPr>
      </w:pPr>
      <w:r>
        <w:rPr>
          <w:color w:val="000000" w:themeColor="text1"/>
          <w:sz w:val="22"/>
        </w:rPr>
        <w:t xml:space="preserve">Last year, the </w:t>
      </w:r>
      <w:r w:rsidR="00624FAB">
        <w:rPr>
          <w:color w:val="000000" w:themeColor="text1"/>
          <w:sz w:val="22"/>
        </w:rPr>
        <w:t xml:space="preserve">Keolis </w:t>
      </w:r>
      <w:r>
        <w:rPr>
          <w:color w:val="000000" w:themeColor="text1"/>
          <w:sz w:val="22"/>
        </w:rPr>
        <w:t xml:space="preserve">Group continued its external growth strategy by </w:t>
      </w:r>
      <w:r>
        <w:rPr>
          <w:b/>
          <w:color w:val="000000" w:themeColor="text1"/>
          <w:sz w:val="22"/>
        </w:rPr>
        <w:t>acquiring four companies from the Belgian firm</w:t>
      </w:r>
      <w:r w:rsidR="00ED0ACD">
        <w:rPr>
          <w:b/>
          <w:color w:val="000000" w:themeColor="text1"/>
          <w:sz w:val="22"/>
        </w:rPr>
        <w:t>,</w:t>
      </w:r>
      <w:r>
        <w:rPr>
          <w:b/>
          <w:color w:val="000000" w:themeColor="text1"/>
          <w:sz w:val="22"/>
        </w:rPr>
        <w:t xml:space="preserve"> </w:t>
      </w:r>
      <w:r w:rsidRPr="0018553B">
        <w:rPr>
          <w:b/>
          <w:i/>
          <w:color w:val="000000" w:themeColor="text1"/>
          <w:sz w:val="22"/>
        </w:rPr>
        <w:t>Open Tours Group</w:t>
      </w:r>
      <w:r w:rsidRPr="00433BAE">
        <w:rPr>
          <w:color w:val="000000" w:themeColor="text1"/>
          <w:sz w:val="22"/>
        </w:rPr>
        <w:t>.</w:t>
      </w:r>
      <w:r>
        <w:rPr>
          <w:color w:val="000000" w:themeColor="text1"/>
          <w:sz w:val="22"/>
        </w:rPr>
        <w:t xml:space="preserve"> Specialised in airport transport, they will enable </w:t>
      </w:r>
      <w:r>
        <w:rPr>
          <w:b/>
          <w:color w:val="000000" w:themeColor="text1"/>
          <w:sz w:val="22"/>
        </w:rPr>
        <w:t>Keolis Belgium</w:t>
      </w:r>
      <w:r>
        <w:rPr>
          <w:color w:val="000000" w:themeColor="text1"/>
          <w:sz w:val="22"/>
        </w:rPr>
        <w:t xml:space="preserve"> to expand its public transport activities, which also include school transport and tourist transport services.</w:t>
      </w:r>
    </w:p>
    <w:p w14:paraId="054634BA" w14:textId="77777777" w:rsidR="006F1C6B" w:rsidRDefault="006F1C6B" w:rsidP="00D4797B">
      <w:pPr>
        <w:spacing w:line="276" w:lineRule="auto"/>
        <w:jc w:val="both"/>
        <w:rPr>
          <w:sz w:val="22"/>
        </w:rPr>
      </w:pPr>
    </w:p>
    <w:p w14:paraId="70FC6CF6" w14:textId="77777777" w:rsidR="00776C04" w:rsidRDefault="00776C04" w:rsidP="00322145">
      <w:pPr>
        <w:spacing w:line="276" w:lineRule="auto"/>
        <w:jc w:val="both"/>
        <w:rPr>
          <w:i/>
          <w:color w:val="007F92" w:themeColor="text2" w:themeShade="BF"/>
          <w:sz w:val="24"/>
        </w:rPr>
      </w:pPr>
    </w:p>
    <w:p w14:paraId="48220DB2" w14:textId="3F39557A" w:rsidR="00BB1DA3" w:rsidRPr="00E6494D" w:rsidRDefault="00FC6EA6" w:rsidP="00BB1DA3">
      <w:pPr>
        <w:spacing w:line="276" w:lineRule="auto"/>
        <w:jc w:val="both"/>
        <w:rPr>
          <w:rFonts w:asciiTheme="majorHAnsi" w:eastAsiaTheme="majorEastAsia" w:hAnsiTheme="majorHAnsi" w:cstheme="majorBidi"/>
          <w:b/>
          <w:bCs/>
          <w:color w:val="00AAC3" w:themeColor="text2"/>
          <w:sz w:val="26"/>
          <w:szCs w:val="26"/>
        </w:rPr>
      </w:pPr>
      <w:r>
        <w:rPr>
          <w:rFonts w:asciiTheme="majorHAnsi" w:hAnsiTheme="majorHAnsi"/>
          <w:b/>
          <w:bCs/>
          <w:color w:val="00AAC3" w:themeColor="text2"/>
          <w:sz w:val="26"/>
          <w:szCs w:val="26"/>
        </w:rPr>
        <w:t>Keolis accelerates its transformation through innovation</w:t>
      </w:r>
    </w:p>
    <w:p w14:paraId="5D743BD5" w14:textId="77777777" w:rsidR="00BB1DA3" w:rsidRPr="00442606" w:rsidRDefault="00BB1DA3" w:rsidP="00BB1DA3">
      <w:pPr>
        <w:spacing w:line="276" w:lineRule="auto"/>
        <w:jc w:val="both"/>
        <w:rPr>
          <w:sz w:val="10"/>
          <w:szCs w:val="10"/>
        </w:rPr>
      </w:pPr>
    </w:p>
    <w:p w14:paraId="13077ABB" w14:textId="13762CD5" w:rsidR="00910982" w:rsidRDefault="00910982" w:rsidP="00BB1DA3">
      <w:pPr>
        <w:spacing w:line="276" w:lineRule="auto"/>
        <w:jc w:val="both"/>
        <w:rPr>
          <w:i/>
          <w:color w:val="007F92" w:themeColor="text2" w:themeShade="BF"/>
          <w:sz w:val="24"/>
        </w:rPr>
      </w:pPr>
      <w:r>
        <w:rPr>
          <w:i/>
          <w:color w:val="007F92" w:themeColor="text2" w:themeShade="BF"/>
          <w:sz w:val="24"/>
        </w:rPr>
        <w:t>In sustainable mobility</w:t>
      </w:r>
    </w:p>
    <w:p w14:paraId="3DE84A46" w14:textId="77777777" w:rsidR="00910982" w:rsidRPr="0083787D" w:rsidRDefault="00910982" w:rsidP="00BB1DA3">
      <w:pPr>
        <w:spacing w:line="276" w:lineRule="auto"/>
        <w:jc w:val="both"/>
        <w:rPr>
          <w:i/>
          <w:color w:val="007F92" w:themeColor="text2" w:themeShade="BF"/>
          <w:sz w:val="10"/>
        </w:rPr>
      </w:pPr>
    </w:p>
    <w:p w14:paraId="5CB77FE6" w14:textId="4E2FAD6A" w:rsidR="00613316" w:rsidRPr="007A08F3" w:rsidRDefault="006C13AE" w:rsidP="00BB1DA3">
      <w:pPr>
        <w:spacing w:line="276" w:lineRule="auto"/>
        <w:jc w:val="both"/>
        <w:rPr>
          <w:b/>
          <w:sz w:val="22"/>
        </w:rPr>
      </w:pPr>
      <w:r>
        <w:rPr>
          <w:b/>
          <w:sz w:val="22"/>
        </w:rPr>
        <w:t>As a supporter of the energy transition, Keolis makes commitments to both public transport authorities and passengers to promote more sustainable means of transport.</w:t>
      </w:r>
    </w:p>
    <w:p w14:paraId="4780D629" w14:textId="77777777" w:rsidR="007A08F3" w:rsidRDefault="007A08F3" w:rsidP="00BB1DA3">
      <w:pPr>
        <w:spacing w:line="276" w:lineRule="auto"/>
        <w:jc w:val="both"/>
        <w:rPr>
          <w:sz w:val="22"/>
        </w:rPr>
      </w:pPr>
    </w:p>
    <w:p w14:paraId="7635080E" w14:textId="062FB084" w:rsidR="005723EF" w:rsidRDefault="004074AA" w:rsidP="00BB1DA3">
      <w:pPr>
        <w:spacing w:line="276" w:lineRule="auto"/>
        <w:jc w:val="both"/>
        <w:rPr>
          <w:sz w:val="22"/>
        </w:rPr>
      </w:pPr>
      <w:r>
        <w:rPr>
          <w:sz w:val="22"/>
        </w:rPr>
        <w:lastRenderedPageBreak/>
        <w:t xml:space="preserve">In 2018, Keolis prepared the launches of various projects with dedicated transport corridors: </w:t>
      </w:r>
      <w:r>
        <w:rPr>
          <w:b/>
          <w:sz w:val="22"/>
        </w:rPr>
        <w:t>the 100% electric bus rapid transit (BRT) services in Amiens and Bayonne-Biarritz-</w:t>
      </w:r>
      <w:proofErr w:type="spellStart"/>
      <w:r>
        <w:rPr>
          <w:b/>
          <w:sz w:val="22"/>
        </w:rPr>
        <w:t>Anglet</w:t>
      </w:r>
      <w:proofErr w:type="spellEnd"/>
      <w:r>
        <w:rPr>
          <w:sz w:val="22"/>
        </w:rPr>
        <w:t xml:space="preserve">, the </w:t>
      </w:r>
      <w:r>
        <w:rPr>
          <w:b/>
          <w:sz w:val="22"/>
        </w:rPr>
        <w:t>hydrogen BRT service in Pau</w:t>
      </w:r>
      <w:r>
        <w:rPr>
          <w:sz w:val="22"/>
        </w:rPr>
        <w:t xml:space="preserve">* and the </w:t>
      </w:r>
      <w:r>
        <w:rPr>
          <w:b/>
          <w:sz w:val="22"/>
        </w:rPr>
        <w:t xml:space="preserve">new </w:t>
      </w:r>
      <w:r w:rsidR="001F42FE">
        <w:rPr>
          <w:b/>
          <w:sz w:val="22"/>
        </w:rPr>
        <w:t xml:space="preserve">steel-wheeled </w:t>
      </w:r>
      <w:r>
        <w:rPr>
          <w:b/>
          <w:sz w:val="22"/>
        </w:rPr>
        <w:t>tram in Caen,</w:t>
      </w:r>
      <w:r>
        <w:rPr>
          <w:sz w:val="22"/>
        </w:rPr>
        <w:t xml:space="preserve"> which are scheduled for the coming months.</w:t>
      </w:r>
    </w:p>
    <w:p w14:paraId="298AB1EE" w14:textId="038860A7" w:rsidR="00B645FB" w:rsidRDefault="00316FF8" w:rsidP="00BB1DA3">
      <w:pPr>
        <w:spacing w:line="276" w:lineRule="auto"/>
        <w:jc w:val="both"/>
        <w:rPr>
          <w:sz w:val="22"/>
        </w:rPr>
      </w:pPr>
      <w:r>
        <w:rPr>
          <w:sz w:val="22"/>
        </w:rPr>
        <w:t>Thanks to these launches</w:t>
      </w:r>
      <w:r w:rsidR="005F505F">
        <w:rPr>
          <w:sz w:val="22"/>
        </w:rPr>
        <w:t xml:space="preserve">, </w:t>
      </w:r>
      <w:r>
        <w:rPr>
          <w:sz w:val="22"/>
        </w:rPr>
        <w:t xml:space="preserve">in 2019, </w:t>
      </w:r>
      <w:r w:rsidR="005F505F">
        <w:rPr>
          <w:sz w:val="22"/>
        </w:rPr>
        <w:t xml:space="preserve">the Group will become the </w:t>
      </w:r>
      <w:r w:rsidR="005F505F">
        <w:rPr>
          <w:b/>
          <w:sz w:val="22"/>
        </w:rPr>
        <w:t>operator responsible for the largest number of 100% electric bus networks</w:t>
      </w:r>
      <w:r>
        <w:rPr>
          <w:b/>
          <w:sz w:val="22"/>
        </w:rPr>
        <w:t xml:space="preserve"> in France</w:t>
      </w:r>
      <w:r w:rsidR="005F505F">
        <w:rPr>
          <w:sz w:val="22"/>
        </w:rPr>
        <w:t>.</w:t>
      </w:r>
    </w:p>
    <w:p w14:paraId="1E37EE7A" w14:textId="77777777" w:rsidR="00914E21" w:rsidRDefault="00914E21" w:rsidP="00BB1DA3">
      <w:pPr>
        <w:spacing w:line="276" w:lineRule="auto"/>
        <w:jc w:val="both"/>
        <w:rPr>
          <w:i/>
          <w:sz w:val="22"/>
        </w:rPr>
      </w:pPr>
    </w:p>
    <w:p w14:paraId="7BBB096E" w14:textId="21F0A0AA" w:rsidR="00316FF8" w:rsidRDefault="00316FF8" w:rsidP="00316FF8">
      <w:pPr>
        <w:spacing w:line="276" w:lineRule="auto"/>
        <w:jc w:val="both"/>
        <w:rPr>
          <w:sz w:val="22"/>
        </w:rPr>
      </w:pPr>
      <w:r w:rsidRPr="0018553B">
        <w:rPr>
          <w:sz w:val="22"/>
        </w:rPr>
        <w:t xml:space="preserve">In December 2018, </w:t>
      </w:r>
      <w:r>
        <w:rPr>
          <w:b/>
          <w:sz w:val="22"/>
        </w:rPr>
        <w:t>Keolis Canada</w:t>
      </w:r>
      <w:r>
        <w:rPr>
          <w:sz w:val="22"/>
        </w:rPr>
        <w:t xml:space="preserve"> became the largest 100% electric school bus operator in </w:t>
      </w:r>
      <w:r>
        <w:rPr>
          <w:b/>
          <w:sz w:val="22"/>
        </w:rPr>
        <w:t>North America</w:t>
      </w:r>
      <w:r>
        <w:rPr>
          <w:sz w:val="22"/>
        </w:rPr>
        <w:t>.</w:t>
      </w:r>
    </w:p>
    <w:p w14:paraId="5165B0D4" w14:textId="77777777" w:rsidR="00316FF8" w:rsidRDefault="00316FF8" w:rsidP="00316FF8">
      <w:pPr>
        <w:spacing w:line="276" w:lineRule="auto"/>
        <w:jc w:val="both"/>
        <w:rPr>
          <w:sz w:val="12"/>
        </w:rPr>
      </w:pPr>
    </w:p>
    <w:p w14:paraId="453D9633" w14:textId="2B603A4C" w:rsidR="00316FF8" w:rsidRDefault="00316FF8" w:rsidP="00316FF8">
      <w:pPr>
        <w:spacing w:line="276" w:lineRule="auto"/>
        <w:jc w:val="both"/>
        <w:rPr>
          <w:sz w:val="22"/>
        </w:rPr>
      </w:pPr>
      <w:r>
        <w:rPr>
          <w:sz w:val="22"/>
        </w:rPr>
        <w:t xml:space="preserve">In the </w:t>
      </w:r>
      <w:r>
        <w:rPr>
          <w:b/>
          <w:sz w:val="22"/>
        </w:rPr>
        <w:t>USA</w:t>
      </w:r>
      <w:r>
        <w:rPr>
          <w:sz w:val="22"/>
        </w:rPr>
        <w:t xml:space="preserve">, the Group will soon be in charge of the second largest electric fleet on the East Coast. </w:t>
      </w:r>
      <w:r w:rsidR="00C456AE">
        <w:rPr>
          <w:sz w:val="22"/>
        </w:rPr>
        <w:t xml:space="preserve">Operating buses </w:t>
      </w:r>
      <w:r>
        <w:rPr>
          <w:sz w:val="22"/>
        </w:rPr>
        <w:t xml:space="preserve">in </w:t>
      </w:r>
      <w:r>
        <w:rPr>
          <w:b/>
          <w:sz w:val="22"/>
        </w:rPr>
        <w:t>Greensboro</w:t>
      </w:r>
      <w:r>
        <w:rPr>
          <w:sz w:val="22"/>
        </w:rPr>
        <w:t xml:space="preserve">, North Carolina, since January 2019, </w:t>
      </w:r>
      <w:r w:rsidR="00C456AE">
        <w:rPr>
          <w:sz w:val="22"/>
        </w:rPr>
        <w:t xml:space="preserve">Keolis </w:t>
      </w:r>
      <w:r>
        <w:rPr>
          <w:sz w:val="22"/>
        </w:rPr>
        <w:t>launched the state’s first all-electric bus line in February</w:t>
      </w:r>
      <w:r w:rsidR="007729D3">
        <w:rPr>
          <w:sz w:val="22"/>
        </w:rPr>
        <w:t xml:space="preserve"> 2019</w:t>
      </w:r>
      <w:r>
        <w:rPr>
          <w:sz w:val="22"/>
        </w:rPr>
        <w:t xml:space="preserve">. The entire fleet (43 buses) </w:t>
      </w:r>
      <w:r w:rsidR="00C456AE">
        <w:rPr>
          <w:sz w:val="22"/>
        </w:rPr>
        <w:t>is due to</w:t>
      </w:r>
      <w:r>
        <w:rPr>
          <w:sz w:val="22"/>
        </w:rPr>
        <w:t xml:space="preserve"> be converted to electric power. </w:t>
      </w:r>
    </w:p>
    <w:p w14:paraId="66B7EC8E" w14:textId="77777777" w:rsidR="00316FF8" w:rsidDel="00316FF8" w:rsidRDefault="00316FF8">
      <w:pPr>
        <w:spacing w:line="276" w:lineRule="auto"/>
        <w:jc w:val="both"/>
        <w:rPr>
          <w:i/>
          <w:sz w:val="22"/>
        </w:rPr>
      </w:pPr>
    </w:p>
    <w:p w14:paraId="6C63BDD2" w14:textId="275063DD" w:rsidR="00FB57E2" w:rsidRPr="0018553B" w:rsidRDefault="00B917B6" w:rsidP="00BB1DA3">
      <w:pPr>
        <w:spacing w:line="276" w:lineRule="auto"/>
        <w:jc w:val="both"/>
        <w:rPr>
          <w:i/>
          <w:sz w:val="18"/>
          <w:szCs w:val="18"/>
        </w:rPr>
      </w:pPr>
      <w:r w:rsidRPr="0018553B">
        <w:rPr>
          <w:i/>
          <w:sz w:val="18"/>
          <w:szCs w:val="18"/>
        </w:rPr>
        <w:t>*</w:t>
      </w:r>
      <w:r w:rsidR="00316FF8" w:rsidRPr="0018553B">
        <w:rPr>
          <w:i/>
          <w:sz w:val="18"/>
          <w:szCs w:val="18"/>
        </w:rPr>
        <w:t>(</w:t>
      </w:r>
      <w:r w:rsidRPr="0018553B">
        <w:rPr>
          <w:i/>
          <w:sz w:val="18"/>
          <w:szCs w:val="18"/>
        </w:rPr>
        <w:t>In Pau, Keolis provides technical assistance)</w:t>
      </w:r>
    </w:p>
    <w:p w14:paraId="0763C929" w14:textId="77777777" w:rsidR="00B917B6" w:rsidRPr="00CA2D58" w:rsidRDefault="00B917B6" w:rsidP="00BB1DA3">
      <w:pPr>
        <w:spacing w:line="276" w:lineRule="auto"/>
        <w:jc w:val="both"/>
        <w:rPr>
          <w:sz w:val="22"/>
        </w:rPr>
      </w:pPr>
    </w:p>
    <w:p w14:paraId="73D6E456" w14:textId="77777777" w:rsidR="00B645FB" w:rsidRDefault="00B645FB" w:rsidP="00B645FB">
      <w:pPr>
        <w:spacing w:line="276" w:lineRule="auto"/>
        <w:jc w:val="both"/>
        <w:rPr>
          <w:rFonts w:asciiTheme="majorHAnsi" w:eastAsiaTheme="majorEastAsia" w:hAnsiTheme="majorHAnsi" w:cstheme="majorBidi"/>
          <w:b/>
          <w:bCs/>
          <w:color w:val="00AAC3" w:themeColor="text2"/>
          <w:sz w:val="28"/>
          <w:szCs w:val="26"/>
        </w:rPr>
      </w:pPr>
      <w:r>
        <w:rPr>
          <w:i/>
          <w:color w:val="007F92" w:themeColor="text2" w:themeShade="BF"/>
          <w:sz w:val="24"/>
        </w:rPr>
        <w:t>Real-time shared mobility</w:t>
      </w:r>
    </w:p>
    <w:p w14:paraId="1602B4E6" w14:textId="77777777" w:rsidR="00B645FB" w:rsidRPr="008F309D" w:rsidRDefault="00B645FB" w:rsidP="00B645FB">
      <w:pPr>
        <w:spacing w:line="276" w:lineRule="auto"/>
        <w:jc w:val="both"/>
        <w:rPr>
          <w:b/>
          <w:sz w:val="10"/>
          <w:szCs w:val="10"/>
        </w:rPr>
      </w:pPr>
    </w:p>
    <w:p w14:paraId="63F83E5A" w14:textId="0E4E8228" w:rsidR="007A7871" w:rsidRPr="007A08F3" w:rsidRDefault="00B645FB" w:rsidP="00B645FB">
      <w:pPr>
        <w:spacing w:line="276" w:lineRule="auto"/>
        <w:jc w:val="both"/>
        <w:rPr>
          <w:b/>
          <w:sz w:val="22"/>
        </w:rPr>
      </w:pPr>
      <w:r>
        <w:rPr>
          <w:b/>
          <w:sz w:val="22"/>
        </w:rPr>
        <w:t>Keolis hopes to use the development of artificial intelligence to enhance its expertise in real-time</w:t>
      </w:r>
      <w:r w:rsidR="001F42FE">
        <w:rPr>
          <w:b/>
          <w:sz w:val="22"/>
        </w:rPr>
        <w:t>,</w:t>
      </w:r>
      <w:r>
        <w:rPr>
          <w:b/>
          <w:sz w:val="22"/>
        </w:rPr>
        <w:t xml:space="preserve"> on-demand transport.</w:t>
      </w:r>
    </w:p>
    <w:p w14:paraId="065A1BAA" w14:textId="77777777" w:rsidR="00076ABD" w:rsidRDefault="00076ABD" w:rsidP="00B645FB">
      <w:pPr>
        <w:spacing w:line="276" w:lineRule="auto"/>
        <w:jc w:val="both"/>
        <w:rPr>
          <w:color w:val="000000" w:themeColor="text1"/>
          <w:sz w:val="22"/>
        </w:rPr>
      </w:pPr>
    </w:p>
    <w:p w14:paraId="1F9B7C75" w14:textId="77777777" w:rsidR="00316FF8" w:rsidRDefault="00316FF8" w:rsidP="00B645FB">
      <w:pPr>
        <w:spacing w:line="276" w:lineRule="auto"/>
        <w:jc w:val="both"/>
        <w:rPr>
          <w:rFonts w:asciiTheme="majorHAnsi" w:hAnsiTheme="majorHAnsi"/>
          <w:bCs/>
          <w:color w:val="000000" w:themeColor="text1"/>
          <w:sz w:val="22"/>
          <w:szCs w:val="24"/>
        </w:rPr>
      </w:pPr>
      <w:r>
        <w:rPr>
          <w:sz w:val="22"/>
        </w:rPr>
        <w:t xml:space="preserve">This offer, which guarantees flexibility for passengers, encourages the use of public transport via an efficient multi-modal structure, helping to reduce urban </w:t>
      </w:r>
      <w:r>
        <w:rPr>
          <w:rFonts w:asciiTheme="majorHAnsi" w:hAnsiTheme="majorHAnsi"/>
          <w:bCs/>
          <w:color w:val="000000" w:themeColor="text1"/>
          <w:sz w:val="22"/>
          <w:szCs w:val="24"/>
        </w:rPr>
        <w:t xml:space="preserve">congestion by sharing vehicles. </w:t>
      </w:r>
    </w:p>
    <w:p w14:paraId="126D8FE7" w14:textId="77777777" w:rsidR="00316FF8" w:rsidRDefault="00316FF8" w:rsidP="00B645FB">
      <w:pPr>
        <w:spacing w:line="276" w:lineRule="auto"/>
        <w:jc w:val="both"/>
        <w:rPr>
          <w:color w:val="000000" w:themeColor="text1"/>
          <w:sz w:val="22"/>
        </w:rPr>
      </w:pPr>
    </w:p>
    <w:p w14:paraId="134B0A5E" w14:textId="2B024DC0" w:rsidR="00C56B9A" w:rsidRDefault="00B645FB" w:rsidP="00B645FB">
      <w:pPr>
        <w:spacing w:line="276" w:lineRule="auto"/>
        <w:jc w:val="both"/>
        <w:rPr>
          <w:sz w:val="22"/>
        </w:rPr>
      </w:pPr>
      <w:r>
        <w:rPr>
          <w:color w:val="000000" w:themeColor="text1"/>
          <w:sz w:val="22"/>
        </w:rPr>
        <w:t xml:space="preserve">In collaboration with </w:t>
      </w:r>
      <w:r>
        <w:rPr>
          <w:b/>
          <w:sz w:val="22"/>
        </w:rPr>
        <w:t>Via</w:t>
      </w:r>
      <w:r>
        <w:rPr>
          <w:sz w:val="22"/>
        </w:rPr>
        <w:t xml:space="preserve"> (world leader in real</w:t>
      </w:r>
      <w:r w:rsidR="001F42FE">
        <w:rPr>
          <w:sz w:val="22"/>
        </w:rPr>
        <w:t>-</w:t>
      </w:r>
      <w:r>
        <w:rPr>
          <w:sz w:val="22"/>
        </w:rPr>
        <w:t xml:space="preserve">time shared mobility solutions), the </w:t>
      </w:r>
      <w:r w:rsidR="00624FAB">
        <w:rPr>
          <w:sz w:val="22"/>
        </w:rPr>
        <w:t xml:space="preserve">Keolis </w:t>
      </w:r>
      <w:r>
        <w:rPr>
          <w:sz w:val="22"/>
        </w:rPr>
        <w:t xml:space="preserve">Group launched a number of dynamic on-demand transport projects in 2018, including </w:t>
      </w:r>
      <w:r>
        <w:rPr>
          <w:b/>
          <w:sz w:val="22"/>
        </w:rPr>
        <w:t xml:space="preserve">KE’OP </w:t>
      </w:r>
      <w:r>
        <w:rPr>
          <w:sz w:val="22"/>
        </w:rPr>
        <w:t>in Bordeaux, France.</w:t>
      </w:r>
    </w:p>
    <w:p w14:paraId="0B49DB1E" w14:textId="282CCBA7" w:rsidR="00316FF8" w:rsidRDefault="00316FF8" w:rsidP="00B645FB">
      <w:pPr>
        <w:spacing w:line="276" w:lineRule="auto"/>
        <w:jc w:val="both"/>
        <w:rPr>
          <w:sz w:val="22"/>
        </w:rPr>
      </w:pPr>
      <w:r>
        <w:rPr>
          <w:sz w:val="22"/>
        </w:rPr>
        <w:t xml:space="preserve">In 2019, this transport offer will be deployed in </w:t>
      </w:r>
      <w:r w:rsidRPr="0018553B">
        <w:rPr>
          <w:b/>
          <w:sz w:val="22"/>
        </w:rPr>
        <w:t>Nancy</w:t>
      </w:r>
      <w:r>
        <w:rPr>
          <w:sz w:val="22"/>
        </w:rPr>
        <w:t xml:space="preserve"> and </w:t>
      </w:r>
      <w:r w:rsidRPr="0018553B">
        <w:rPr>
          <w:b/>
          <w:sz w:val="22"/>
        </w:rPr>
        <w:t>Tours</w:t>
      </w:r>
      <w:r>
        <w:rPr>
          <w:sz w:val="22"/>
        </w:rPr>
        <w:t>.</w:t>
      </w:r>
    </w:p>
    <w:p w14:paraId="69DE6276" w14:textId="77777777" w:rsidR="00F063B8" w:rsidRDefault="00F063B8" w:rsidP="00B645FB">
      <w:pPr>
        <w:spacing w:line="276" w:lineRule="auto"/>
        <w:jc w:val="both"/>
        <w:rPr>
          <w:sz w:val="22"/>
        </w:rPr>
      </w:pPr>
    </w:p>
    <w:p w14:paraId="2F4C464D" w14:textId="1C310334" w:rsidR="003F7961" w:rsidRDefault="004E5B09" w:rsidP="00B645FB">
      <w:pPr>
        <w:spacing w:line="276" w:lineRule="auto"/>
        <w:jc w:val="both"/>
        <w:rPr>
          <w:sz w:val="22"/>
        </w:rPr>
      </w:pPr>
      <w:r>
        <w:rPr>
          <w:sz w:val="22"/>
        </w:rPr>
        <w:t xml:space="preserve">On the international front, Keolis and its partner launched dynamic on-demand transport offers in </w:t>
      </w:r>
      <w:r>
        <w:rPr>
          <w:b/>
          <w:sz w:val="22"/>
        </w:rPr>
        <w:t xml:space="preserve">Sydney </w:t>
      </w:r>
      <w:r w:rsidRPr="0018553B">
        <w:rPr>
          <w:sz w:val="22"/>
        </w:rPr>
        <w:t>and</w:t>
      </w:r>
      <w:r>
        <w:rPr>
          <w:b/>
          <w:sz w:val="22"/>
        </w:rPr>
        <w:t xml:space="preserve"> Newcastle </w:t>
      </w:r>
      <w:r>
        <w:rPr>
          <w:sz w:val="22"/>
        </w:rPr>
        <w:t xml:space="preserve">in </w:t>
      </w:r>
      <w:r>
        <w:rPr>
          <w:b/>
          <w:sz w:val="22"/>
        </w:rPr>
        <w:t>Australia</w:t>
      </w:r>
      <w:r>
        <w:rPr>
          <w:sz w:val="22"/>
        </w:rPr>
        <w:t xml:space="preserve">, and in </w:t>
      </w:r>
      <w:r>
        <w:rPr>
          <w:b/>
          <w:bCs/>
          <w:sz w:val="22"/>
        </w:rPr>
        <w:t>Orange County</w:t>
      </w:r>
      <w:r>
        <w:rPr>
          <w:sz w:val="22"/>
        </w:rPr>
        <w:t xml:space="preserve">, California, </w:t>
      </w:r>
      <w:r>
        <w:rPr>
          <w:b/>
          <w:bCs/>
          <w:sz w:val="22"/>
        </w:rPr>
        <w:t>USA</w:t>
      </w:r>
      <w:r>
        <w:rPr>
          <w:sz w:val="22"/>
        </w:rPr>
        <w:t>.</w:t>
      </w:r>
    </w:p>
    <w:p w14:paraId="3AD1E10F" w14:textId="77777777" w:rsidR="00316FF8" w:rsidRDefault="00316FF8" w:rsidP="00B645FB">
      <w:pPr>
        <w:spacing w:line="276" w:lineRule="auto"/>
        <w:jc w:val="both"/>
        <w:rPr>
          <w:sz w:val="22"/>
        </w:rPr>
      </w:pPr>
    </w:p>
    <w:p w14:paraId="00E2A690" w14:textId="026719F5" w:rsidR="00B645FB" w:rsidRDefault="004E5B09" w:rsidP="00B645FB">
      <w:pPr>
        <w:spacing w:line="276" w:lineRule="auto"/>
        <w:jc w:val="both"/>
        <w:rPr>
          <w:sz w:val="22"/>
        </w:rPr>
      </w:pPr>
      <w:r>
        <w:rPr>
          <w:sz w:val="22"/>
        </w:rPr>
        <w:t>Keolis</w:t>
      </w:r>
      <w:r w:rsidR="00411227">
        <w:rPr>
          <w:sz w:val="22"/>
        </w:rPr>
        <w:t xml:space="preserve"> also</w:t>
      </w:r>
      <w:r>
        <w:rPr>
          <w:sz w:val="22"/>
        </w:rPr>
        <w:t xml:space="preserve"> continued to launch</w:t>
      </w:r>
      <w:r w:rsidR="00411227">
        <w:rPr>
          <w:sz w:val="22"/>
        </w:rPr>
        <w:t xml:space="preserve"> real-time,</w:t>
      </w:r>
      <w:r>
        <w:rPr>
          <w:sz w:val="22"/>
        </w:rPr>
        <w:t xml:space="preserve"> on-demand transport offers in the Paris region with </w:t>
      </w:r>
      <w:proofErr w:type="spellStart"/>
      <w:r>
        <w:rPr>
          <w:b/>
          <w:sz w:val="22"/>
        </w:rPr>
        <w:t>Filéo</w:t>
      </w:r>
      <w:proofErr w:type="spellEnd"/>
      <w:r>
        <w:rPr>
          <w:sz w:val="22"/>
        </w:rPr>
        <w:t xml:space="preserve">, the largest on-demand transport service in Europe, which includes services to </w:t>
      </w:r>
      <w:r>
        <w:rPr>
          <w:b/>
          <w:sz w:val="22"/>
        </w:rPr>
        <w:t>Paris Charles de Gaulle airport</w:t>
      </w:r>
      <w:r>
        <w:rPr>
          <w:sz w:val="22"/>
        </w:rPr>
        <w:t xml:space="preserve">, and </w:t>
      </w:r>
      <w:r>
        <w:rPr>
          <w:b/>
          <w:sz w:val="22"/>
        </w:rPr>
        <w:t>Orleans</w:t>
      </w:r>
      <w:r>
        <w:rPr>
          <w:sz w:val="22"/>
        </w:rPr>
        <w:t xml:space="preserve">. </w:t>
      </w:r>
    </w:p>
    <w:p w14:paraId="114BC32B" w14:textId="77777777" w:rsidR="00316FF8" w:rsidRDefault="00316FF8" w:rsidP="00BB1DA3">
      <w:pPr>
        <w:spacing w:line="276" w:lineRule="auto"/>
        <w:jc w:val="both"/>
        <w:rPr>
          <w:i/>
          <w:color w:val="007F92" w:themeColor="text2" w:themeShade="BF"/>
          <w:sz w:val="24"/>
        </w:rPr>
      </w:pPr>
    </w:p>
    <w:p w14:paraId="4F282FDF" w14:textId="701A46AE" w:rsidR="00812F14" w:rsidRDefault="00FC6EA6" w:rsidP="00BB1DA3">
      <w:pPr>
        <w:spacing w:line="276" w:lineRule="auto"/>
        <w:jc w:val="both"/>
        <w:rPr>
          <w:i/>
          <w:color w:val="007F92" w:themeColor="text2" w:themeShade="BF"/>
          <w:sz w:val="24"/>
        </w:rPr>
      </w:pPr>
      <w:r>
        <w:rPr>
          <w:i/>
          <w:color w:val="007F92" w:themeColor="text2" w:themeShade="BF"/>
          <w:sz w:val="24"/>
        </w:rPr>
        <w:lastRenderedPageBreak/>
        <w:t>In digital mobility</w:t>
      </w:r>
    </w:p>
    <w:p w14:paraId="53C16184" w14:textId="77777777" w:rsidR="00FC6EA6" w:rsidRPr="00A93921" w:rsidRDefault="00FC6EA6" w:rsidP="00BB1DA3">
      <w:pPr>
        <w:spacing w:line="276" w:lineRule="auto"/>
        <w:jc w:val="both"/>
        <w:rPr>
          <w:sz w:val="10"/>
          <w:szCs w:val="10"/>
        </w:rPr>
      </w:pPr>
    </w:p>
    <w:p w14:paraId="5CB5E546" w14:textId="792B3F9A" w:rsidR="00FA7683" w:rsidRDefault="001601E0" w:rsidP="00C0614C">
      <w:pPr>
        <w:spacing w:line="276" w:lineRule="auto"/>
        <w:jc w:val="both"/>
        <w:rPr>
          <w:sz w:val="22"/>
        </w:rPr>
      </w:pPr>
      <w:r>
        <w:rPr>
          <w:b/>
          <w:sz w:val="22"/>
        </w:rPr>
        <w:t>To offer a simplified, connected passenger experience, Keolis is constantly innovating and creating new digital mobility services</w:t>
      </w:r>
      <w:r>
        <w:rPr>
          <w:sz w:val="22"/>
        </w:rPr>
        <w:t>.</w:t>
      </w:r>
    </w:p>
    <w:p w14:paraId="13743118" w14:textId="77777777" w:rsidR="00F063B8" w:rsidRDefault="00F063B8" w:rsidP="00C0614C">
      <w:pPr>
        <w:spacing w:line="276" w:lineRule="auto"/>
        <w:jc w:val="both"/>
        <w:rPr>
          <w:sz w:val="22"/>
        </w:rPr>
      </w:pPr>
    </w:p>
    <w:p w14:paraId="28B1C7CB" w14:textId="760EE28B" w:rsidR="00C0614C" w:rsidRDefault="00411227" w:rsidP="00C0614C">
      <w:pPr>
        <w:spacing w:line="276" w:lineRule="auto"/>
        <w:jc w:val="both"/>
        <w:rPr>
          <w:sz w:val="22"/>
        </w:rPr>
      </w:pPr>
      <w:r>
        <w:rPr>
          <w:sz w:val="22"/>
        </w:rPr>
        <w:t xml:space="preserve">In </w:t>
      </w:r>
      <w:r w:rsidRPr="00F52E6A">
        <w:rPr>
          <w:b/>
          <w:sz w:val="22"/>
        </w:rPr>
        <w:t>Dijon,</w:t>
      </w:r>
      <w:r>
        <w:rPr>
          <w:sz w:val="22"/>
        </w:rPr>
        <w:t xml:space="preserve"> Keolis</w:t>
      </w:r>
      <w:r w:rsidR="00FA7683">
        <w:rPr>
          <w:sz w:val="22"/>
        </w:rPr>
        <w:t xml:space="preserve"> launch</w:t>
      </w:r>
      <w:r>
        <w:rPr>
          <w:sz w:val="22"/>
        </w:rPr>
        <w:t>ed</w:t>
      </w:r>
      <w:r w:rsidR="00FA7683">
        <w:rPr>
          <w:sz w:val="22"/>
        </w:rPr>
        <w:t xml:space="preserve"> the </w:t>
      </w:r>
      <w:r w:rsidR="00FA7683">
        <w:rPr>
          <w:b/>
          <w:sz w:val="22"/>
        </w:rPr>
        <w:t>first open payment solution deployed in a French transport network</w:t>
      </w:r>
      <w:r>
        <w:rPr>
          <w:b/>
          <w:sz w:val="22"/>
        </w:rPr>
        <w:t xml:space="preserve">, </w:t>
      </w:r>
      <w:r w:rsidR="00FA7683" w:rsidRPr="00411227">
        <w:rPr>
          <w:sz w:val="22"/>
        </w:rPr>
        <w:t>enabling</w:t>
      </w:r>
      <w:r w:rsidR="00FA7683">
        <w:rPr>
          <w:sz w:val="22"/>
        </w:rPr>
        <w:t xml:space="preserve"> transport ticket validation using a contactless credit card. The very rapid uptake and success of this innovation (650,000 validations and 83,000 new users in one year) encouraged Keolis and </w:t>
      </w:r>
      <w:r w:rsidR="00FA7683">
        <w:rPr>
          <w:b/>
          <w:sz w:val="22"/>
        </w:rPr>
        <w:t xml:space="preserve">Dijon </w:t>
      </w:r>
      <w:proofErr w:type="spellStart"/>
      <w:r w:rsidR="00FA7683">
        <w:rPr>
          <w:b/>
          <w:sz w:val="22"/>
        </w:rPr>
        <w:t>Métropole</w:t>
      </w:r>
      <w:proofErr w:type="spellEnd"/>
      <w:r w:rsidR="00FA7683">
        <w:rPr>
          <w:sz w:val="22"/>
        </w:rPr>
        <w:t xml:space="preserve"> to expand the service, initially used only on the tram, to the bus network</w:t>
      </w:r>
      <w:r>
        <w:rPr>
          <w:sz w:val="22"/>
        </w:rPr>
        <w:t xml:space="preserve"> in</w:t>
      </w:r>
      <w:r w:rsidR="00FA7683">
        <w:rPr>
          <w:sz w:val="22"/>
        </w:rPr>
        <w:t xml:space="preserve"> autumn</w:t>
      </w:r>
      <w:r>
        <w:rPr>
          <w:sz w:val="22"/>
        </w:rPr>
        <w:t xml:space="preserve"> 2018</w:t>
      </w:r>
      <w:r w:rsidR="00FA7683">
        <w:rPr>
          <w:sz w:val="22"/>
        </w:rPr>
        <w:t>.</w:t>
      </w:r>
    </w:p>
    <w:p w14:paraId="39F83F74" w14:textId="77777777" w:rsidR="003F2D34" w:rsidRDefault="003F2D34" w:rsidP="00FC6EA6">
      <w:pPr>
        <w:spacing w:line="276" w:lineRule="auto"/>
        <w:jc w:val="both"/>
        <w:rPr>
          <w:i/>
          <w:color w:val="007F92" w:themeColor="text2" w:themeShade="BF"/>
          <w:sz w:val="24"/>
        </w:rPr>
      </w:pPr>
    </w:p>
    <w:p w14:paraId="4FB8AD04" w14:textId="77777777" w:rsidR="00FC6EA6" w:rsidRDefault="00FC6EA6" w:rsidP="00FC6EA6">
      <w:pPr>
        <w:spacing w:line="276" w:lineRule="auto"/>
        <w:jc w:val="both"/>
        <w:rPr>
          <w:i/>
          <w:color w:val="007F92" w:themeColor="text2" w:themeShade="BF"/>
          <w:sz w:val="24"/>
        </w:rPr>
      </w:pPr>
      <w:r>
        <w:rPr>
          <w:i/>
          <w:color w:val="007F92" w:themeColor="text2" w:themeShade="BF"/>
          <w:sz w:val="24"/>
        </w:rPr>
        <w:t>In autonomous mobility</w:t>
      </w:r>
    </w:p>
    <w:p w14:paraId="7AD24446" w14:textId="77777777" w:rsidR="00FC6EA6" w:rsidRPr="00A93921" w:rsidRDefault="00FC6EA6" w:rsidP="00BB1DA3">
      <w:pPr>
        <w:spacing w:line="276" w:lineRule="auto"/>
        <w:jc w:val="both"/>
        <w:rPr>
          <w:sz w:val="10"/>
          <w:szCs w:val="10"/>
        </w:rPr>
      </w:pPr>
    </w:p>
    <w:p w14:paraId="567C8CD1" w14:textId="1AF4937E" w:rsidR="0072227A" w:rsidRDefault="002C0EDD" w:rsidP="00BB1DA3">
      <w:pPr>
        <w:spacing w:line="276" w:lineRule="auto"/>
        <w:jc w:val="both"/>
        <w:rPr>
          <w:sz w:val="22"/>
        </w:rPr>
      </w:pPr>
      <w:r>
        <w:rPr>
          <w:b/>
          <w:sz w:val="22"/>
        </w:rPr>
        <w:t>Keolis</w:t>
      </w:r>
      <w:r w:rsidR="00F828D0">
        <w:rPr>
          <w:b/>
          <w:sz w:val="22"/>
        </w:rPr>
        <w:t>,</w:t>
      </w:r>
      <w:r>
        <w:rPr>
          <w:b/>
          <w:sz w:val="22"/>
        </w:rPr>
        <w:t xml:space="preserve"> a pioneer in new mobility solutions, continu</w:t>
      </w:r>
      <w:r w:rsidR="00F828D0">
        <w:rPr>
          <w:b/>
          <w:sz w:val="22"/>
        </w:rPr>
        <w:t>ed</w:t>
      </w:r>
      <w:r>
        <w:rPr>
          <w:b/>
          <w:sz w:val="22"/>
        </w:rPr>
        <w:t xml:space="preserve"> its auto</w:t>
      </w:r>
      <w:r w:rsidR="00F828D0">
        <w:rPr>
          <w:b/>
          <w:sz w:val="22"/>
        </w:rPr>
        <w:t>nomous</w:t>
      </w:r>
      <w:r>
        <w:rPr>
          <w:b/>
          <w:sz w:val="22"/>
        </w:rPr>
        <w:t xml:space="preserve"> shuttle strategy in partnership with </w:t>
      </w:r>
      <w:r w:rsidR="00FA6D58">
        <w:rPr>
          <w:b/>
          <w:sz w:val="22"/>
        </w:rPr>
        <w:t xml:space="preserve">the </w:t>
      </w:r>
      <w:r>
        <w:rPr>
          <w:b/>
          <w:sz w:val="22"/>
        </w:rPr>
        <w:t xml:space="preserve">manufacturer </w:t>
      </w:r>
      <w:proofErr w:type="spellStart"/>
      <w:r>
        <w:rPr>
          <w:b/>
          <w:sz w:val="22"/>
        </w:rPr>
        <w:t>Navya</w:t>
      </w:r>
      <w:proofErr w:type="spellEnd"/>
      <w:r>
        <w:rPr>
          <w:sz w:val="22"/>
        </w:rPr>
        <w:t>.</w:t>
      </w:r>
    </w:p>
    <w:p w14:paraId="2DD0EE15" w14:textId="77777777" w:rsidR="00ED0ACD" w:rsidRPr="00606AD3" w:rsidRDefault="00ED0ACD" w:rsidP="00ED0ACD">
      <w:pPr>
        <w:spacing w:line="276" w:lineRule="auto"/>
        <w:jc w:val="both"/>
        <w:rPr>
          <w:sz w:val="6"/>
          <w:szCs w:val="6"/>
        </w:rPr>
      </w:pPr>
    </w:p>
    <w:p w14:paraId="0EFF01C9" w14:textId="42D5D64F" w:rsidR="00DF38B6" w:rsidRDefault="00551036" w:rsidP="00BB1DA3">
      <w:pPr>
        <w:spacing w:line="276" w:lineRule="auto"/>
        <w:jc w:val="both"/>
        <w:rPr>
          <w:sz w:val="22"/>
        </w:rPr>
      </w:pPr>
      <w:r>
        <w:rPr>
          <w:sz w:val="22"/>
        </w:rPr>
        <w:t xml:space="preserve">In 2018, </w:t>
      </w:r>
      <w:r w:rsidR="00F828D0">
        <w:rPr>
          <w:sz w:val="22"/>
        </w:rPr>
        <w:t xml:space="preserve">nine </w:t>
      </w:r>
      <w:r>
        <w:rPr>
          <w:sz w:val="22"/>
        </w:rPr>
        <w:t xml:space="preserve">new trials were launched in France (on the university campuses in </w:t>
      </w:r>
      <w:r>
        <w:rPr>
          <w:b/>
          <w:sz w:val="22"/>
        </w:rPr>
        <w:t>Lille</w:t>
      </w:r>
      <w:r>
        <w:rPr>
          <w:sz w:val="22"/>
        </w:rPr>
        <w:t xml:space="preserve"> and </w:t>
      </w:r>
      <w:r>
        <w:rPr>
          <w:b/>
          <w:sz w:val="22"/>
        </w:rPr>
        <w:t>Rennes</w:t>
      </w:r>
      <w:r>
        <w:rPr>
          <w:sz w:val="22"/>
        </w:rPr>
        <w:t xml:space="preserve">, in </w:t>
      </w:r>
      <w:r>
        <w:rPr>
          <w:b/>
          <w:sz w:val="22"/>
        </w:rPr>
        <w:t>Nevers</w:t>
      </w:r>
      <w:r>
        <w:rPr>
          <w:sz w:val="22"/>
        </w:rPr>
        <w:t xml:space="preserve"> and in </w:t>
      </w:r>
      <w:r>
        <w:rPr>
          <w:b/>
          <w:sz w:val="22"/>
        </w:rPr>
        <w:t>Paris Charles de Gaulle airport</w:t>
      </w:r>
      <w:r>
        <w:rPr>
          <w:sz w:val="22"/>
        </w:rPr>
        <w:t xml:space="preserve">) and abroad (at </w:t>
      </w:r>
      <w:r>
        <w:rPr>
          <w:b/>
          <w:bCs/>
          <w:sz w:val="22"/>
        </w:rPr>
        <w:t>Flinders</w:t>
      </w:r>
      <w:r>
        <w:rPr>
          <w:sz w:val="22"/>
        </w:rPr>
        <w:t xml:space="preserve"> university and in </w:t>
      </w:r>
      <w:r>
        <w:rPr>
          <w:b/>
          <w:bCs/>
          <w:sz w:val="22"/>
        </w:rPr>
        <w:t xml:space="preserve">Victoria state </w:t>
      </w:r>
      <w:r>
        <w:rPr>
          <w:sz w:val="22"/>
        </w:rPr>
        <w:t xml:space="preserve">in Australia; in </w:t>
      </w:r>
      <w:proofErr w:type="spellStart"/>
      <w:r>
        <w:rPr>
          <w:b/>
          <w:sz w:val="22"/>
        </w:rPr>
        <w:t>Candiac</w:t>
      </w:r>
      <w:proofErr w:type="spellEnd"/>
      <w:r>
        <w:rPr>
          <w:sz w:val="22"/>
        </w:rPr>
        <w:t xml:space="preserve">, Canada, on public roads; </w:t>
      </w:r>
      <w:r w:rsidR="00F828D0">
        <w:rPr>
          <w:sz w:val="22"/>
        </w:rPr>
        <w:t xml:space="preserve">and </w:t>
      </w:r>
      <w:r>
        <w:rPr>
          <w:sz w:val="22"/>
        </w:rPr>
        <w:t xml:space="preserve">in </w:t>
      </w:r>
      <w:r>
        <w:rPr>
          <w:b/>
          <w:sz w:val="22"/>
        </w:rPr>
        <w:t>Han-sur-</w:t>
      </w:r>
      <w:proofErr w:type="spellStart"/>
      <w:r>
        <w:rPr>
          <w:b/>
          <w:sz w:val="22"/>
        </w:rPr>
        <w:t>Lesse</w:t>
      </w:r>
      <w:proofErr w:type="spellEnd"/>
      <w:r>
        <w:rPr>
          <w:sz w:val="22"/>
        </w:rPr>
        <w:t xml:space="preserve"> and </w:t>
      </w:r>
      <w:r>
        <w:rPr>
          <w:b/>
          <w:sz w:val="22"/>
        </w:rPr>
        <w:t xml:space="preserve">Braine </w:t>
      </w:r>
      <w:proofErr w:type="spellStart"/>
      <w:r>
        <w:rPr>
          <w:b/>
          <w:sz w:val="22"/>
        </w:rPr>
        <w:t>l’Alleud</w:t>
      </w:r>
      <w:proofErr w:type="spellEnd"/>
      <w:r>
        <w:rPr>
          <w:sz w:val="22"/>
        </w:rPr>
        <w:t xml:space="preserve"> near Waterloo in Belgium).</w:t>
      </w:r>
    </w:p>
    <w:p w14:paraId="1D6D3135" w14:textId="77777777" w:rsidR="00DF38B6" w:rsidRDefault="00DF38B6" w:rsidP="00BB1DA3">
      <w:pPr>
        <w:spacing w:line="276" w:lineRule="auto"/>
        <w:jc w:val="both"/>
        <w:rPr>
          <w:sz w:val="22"/>
        </w:rPr>
      </w:pPr>
    </w:p>
    <w:p w14:paraId="6B37EDB3" w14:textId="3563FFC6" w:rsidR="00776C04" w:rsidRDefault="007A12ED" w:rsidP="00BB1DA3">
      <w:pPr>
        <w:spacing w:line="276" w:lineRule="auto"/>
        <w:jc w:val="both"/>
        <w:rPr>
          <w:sz w:val="22"/>
        </w:rPr>
      </w:pPr>
      <w:r>
        <w:rPr>
          <w:sz w:val="22"/>
        </w:rPr>
        <w:t xml:space="preserve">The </w:t>
      </w:r>
      <w:r w:rsidR="00624FAB">
        <w:rPr>
          <w:sz w:val="22"/>
        </w:rPr>
        <w:t xml:space="preserve">Keolis </w:t>
      </w:r>
      <w:r>
        <w:rPr>
          <w:sz w:val="22"/>
        </w:rPr>
        <w:t xml:space="preserve">Group will continue these trials in 2019, notably serving </w:t>
      </w:r>
      <w:r>
        <w:rPr>
          <w:b/>
          <w:sz w:val="22"/>
        </w:rPr>
        <w:t>the OL stadium in Lyon</w:t>
      </w:r>
      <w:r>
        <w:rPr>
          <w:sz w:val="22"/>
        </w:rPr>
        <w:t xml:space="preserve">, and in Australia, in </w:t>
      </w:r>
      <w:r>
        <w:rPr>
          <w:b/>
          <w:sz w:val="22"/>
        </w:rPr>
        <w:t>Sydney</w:t>
      </w:r>
      <w:r>
        <w:rPr>
          <w:sz w:val="22"/>
        </w:rPr>
        <w:t xml:space="preserve"> and </w:t>
      </w:r>
      <w:r>
        <w:rPr>
          <w:b/>
          <w:sz w:val="22"/>
        </w:rPr>
        <w:t>Newcastle</w:t>
      </w:r>
      <w:r>
        <w:rPr>
          <w:sz w:val="22"/>
        </w:rPr>
        <w:t>.</w:t>
      </w:r>
    </w:p>
    <w:p w14:paraId="76BC1D38" w14:textId="77777777" w:rsidR="00542429" w:rsidRDefault="00542429" w:rsidP="00BB1DA3">
      <w:pPr>
        <w:spacing w:line="276" w:lineRule="auto"/>
        <w:jc w:val="both"/>
        <w:rPr>
          <w:sz w:val="22"/>
        </w:rPr>
      </w:pPr>
    </w:p>
    <w:p w14:paraId="29B9F39E" w14:textId="208B5DE8" w:rsidR="00542429" w:rsidRDefault="007A12ED" w:rsidP="00BB1DA3">
      <w:pPr>
        <w:spacing w:line="276" w:lineRule="auto"/>
        <w:jc w:val="both"/>
        <w:rPr>
          <w:sz w:val="22"/>
        </w:rPr>
      </w:pPr>
      <w:r>
        <w:rPr>
          <w:sz w:val="22"/>
        </w:rPr>
        <w:t xml:space="preserve">Since their launch in 2016, the shuttle services operated by Keolis </w:t>
      </w:r>
      <w:r w:rsidR="00F828D0">
        <w:rPr>
          <w:sz w:val="22"/>
        </w:rPr>
        <w:t>on</w:t>
      </w:r>
      <w:r>
        <w:rPr>
          <w:sz w:val="22"/>
        </w:rPr>
        <w:t xml:space="preserve"> more than 30 sites have covered more than 60,000km and transported more than 140,000 passengers.</w:t>
      </w:r>
    </w:p>
    <w:p w14:paraId="20AC273F" w14:textId="77777777" w:rsidR="009755B1" w:rsidRDefault="009755B1" w:rsidP="00BB1DA3">
      <w:pPr>
        <w:spacing w:line="276" w:lineRule="auto"/>
        <w:jc w:val="both"/>
        <w:rPr>
          <w:sz w:val="24"/>
        </w:rPr>
      </w:pPr>
    </w:p>
    <w:p w14:paraId="45C80F3D" w14:textId="1D9E5284" w:rsidR="00A55607" w:rsidRPr="0065517C" w:rsidRDefault="0065517C" w:rsidP="00A55607">
      <w:pPr>
        <w:spacing w:line="276" w:lineRule="auto"/>
        <w:jc w:val="both"/>
        <w:rPr>
          <w:i/>
          <w:color w:val="007F92" w:themeColor="text2" w:themeShade="BF"/>
          <w:sz w:val="24"/>
        </w:rPr>
      </w:pPr>
      <w:r>
        <w:rPr>
          <w:i/>
          <w:color w:val="007F92" w:themeColor="text2" w:themeShade="BF"/>
          <w:sz w:val="24"/>
        </w:rPr>
        <w:t xml:space="preserve">In </w:t>
      </w:r>
      <w:r w:rsidR="000F1DB1">
        <w:rPr>
          <w:i/>
          <w:color w:val="007F92" w:themeColor="text2" w:themeShade="BF"/>
          <w:sz w:val="24"/>
        </w:rPr>
        <w:t>carpooling</w:t>
      </w:r>
    </w:p>
    <w:p w14:paraId="26FD7FE9" w14:textId="77777777" w:rsidR="00A55607" w:rsidRPr="0065517C" w:rsidRDefault="00A55607" w:rsidP="00A55607">
      <w:pPr>
        <w:spacing w:line="276" w:lineRule="auto"/>
        <w:jc w:val="both"/>
        <w:rPr>
          <w:sz w:val="10"/>
          <w:szCs w:val="10"/>
        </w:rPr>
      </w:pPr>
    </w:p>
    <w:p w14:paraId="27EE4AE3" w14:textId="5DD0657F" w:rsidR="00FA1374" w:rsidRPr="00BB3813" w:rsidRDefault="00A55607" w:rsidP="00FA1374">
      <w:pPr>
        <w:spacing w:line="276" w:lineRule="auto"/>
        <w:jc w:val="both"/>
        <w:rPr>
          <w:b/>
          <w:sz w:val="22"/>
        </w:rPr>
      </w:pPr>
      <w:r>
        <w:rPr>
          <w:b/>
          <w:sz w:val="22"/>
        </w:rPr>
        <w:t xml:space="preserve">Since 2016, the </w:t>
      </w:r>
      <w:r w:rsidR="00624FAB">
        <w:rPr>
          <w:b/>
          <w:sz w:val="22"/>
        </w:rPr>
        <w:t xml:space="preserve">Keolis </w:t>
      </w:r>
      <w:r>
        <w:rPr>
          <w:b/>
          <w:sz w:val="22"/>
        </w:rPr>
        <w:t xml:space="preserve">Group has been developing a </w:t>
      </w:r>
      <w:r w:rsidR="00F828D0">
        <w:rPr>
          <w:b/>
          <w:sz w:val="22"/>
        </w:rPr>
        <w:t>carpooling</w:t>
      </w:r>
      <w:r>
        <w:rPr>
          <w:b/>
          <w:sz w:val="22"/>
        </w:rPr>
        <w:t xml:space="preserve"> service to offer passengers a dynamic solution that operates alongside the other transport modes.</w:t>
      </w:r>
    </w:p>
    <w:p w14:paraId="40620190" w14:textId="77777777" w:rsidR="0032780E" w:rsidRDefault="0032780E" w:rsidP="00FA1374">
      <w:pPr>
        <w:spacing w:line="276" w:lineRule="auto"/>
        <w:jc w:val="both"/>
        <w:rPr>
          <w:sz w:val="22"/>
        </w:rPr>
      </w:pPr>
    </w:p>
    <w:p w14:paraId="5517C42B" w14:textId="1ED2A749" w:rsidR="007F74CA" w:rsidRDefault="00CD5654" w:rsidP="00FA1374">
      <w:pPr>
        <w:spacing w:line="276" w:lineRule="auto"/>
        <w:jc w:val="both"/>
        <w:rPr>
          <w:sz w:val="22"/>
        </w:rPr>
      </w:pPr>
      <w:r>
        <w:rPr>
          <w:sz w:val="22"/>
        </w:rPr>
        <w:t xml:space="preserve">To develop its offer, Keolis has </w:t>
      </w:r>
      <w:r w:rsidR="00F828D0">
        <w:rPr>
          <w:sz w:val="22"/>
        </w:rPr>
        <w:t xml:space="preserve">formed a partnership </w:t>
      </w:r>
      <w:r>
        <w:rPr>
          <w:sz w:val="22"/>
        </w:rPr>
        <w:t xml:space="preserve">with </w:t>
      </w:r>
      <w:r>
        <w:rPr>
          <w:b/>
          <w:sz w:val="22"/>
        </w:rPr>
        <w:t>Instant System</w:t>
      </w:r>
      <w:r>
        <w:rPr>
          <w:sz w:val="22"/>
        </w:rPr>
        <w:t>.</w:t>
      </w:r>
    </w:p>
    <w:p w14:paraId="71ECFF99" w14:textId="77777777" w:rsidR="002058CF" w:rsidRDefault="00A55607" w:rsidP="00FA1374">
      <w:pPr>
        <w:spacing w:line="276" w:lineRule="auto"/>
        <w:jc w:val="both"/>
        <w:rPr>
          <w:sz w:val="22"/>
        </w:rPr>
      </w:pPr>
      <w:r>
        <w:rPr>
          <w:sz w:val="22"/>
        </w:rPr>
        <w:t xml:space="preserve">Currently available in </w:t>
      </w:r>
      <w:r>
        <w:rPr>
          <w:b/>
          <w:sz w:val="22"/>
        </w:rPr>
        <w:t>Bordeaux</w:t>
      </w:r>
      <w:r>
        <w:rPr>
          <w:sz w:val="22"/>
        </w:rPr>
        <w:t xml:space="preserve">, </w:t>
      </w:r>
      <w:r>
        <w:rPr>
          <w:b/>
          <w:sz w:val="22"/>
        </w:rPr>
        <w:t>Dijon</w:t>
      </w:r>
      <w:r>
        <w:rPr>
          <w:sz w:val="22"/>
        </w:rPr>
        <w:t xml:space="preserve">, </w:t>
      </w:r>
      <w:r>
        <w:rPr>
          <w:b/>
          <w:sz w:val="22"/>
        </w:rPr>
        <w:t>Rennes</w:t>
      </w:r>
      <w:r>
        <w:rPr>
          <w:sz w:val="22"/>
        </w:rPr>
        <w:t xml:space="preserve"> and </w:t>
      </w:r>
      <w:r>
        <w:rPr>
          <w:b/>
          <w:sz w:val="22"/>
        </w:rPr>
        <w:t>Lille</w:t>
      </w:r>
      <w:r>
        <w:rPr>
          <w:sz w:val="22"/>
        </w:rPr>
        <w:t>, more than 10,000 people have signed up for this service.</w:t>
      </w:r>
    </w:p>
    <w:p w14:paraId="76111F8B" w14:textId="77777777" w:rsidR="002058CF" w:rsidRDefault="002058CF" w:rsidP="00FA1374">
      <w:pPr>
        <w:spacing w:line="276" w:lineRule="auto"/>
        <w:jc w:val="both"/>
        <w:rPr>
          <w:sz w:val="22"/>
        </w:rPr>
      </w:pPr>
    </w:p>
    <w:p w14:paraId="6620E4EF" w14:textId="12684F73" w:rsidR="00A55607" w:rsidRPr="00A55607" w:rsidRDefault="00A55607" w:rsidP="00FA1374">
      <w:pPr>
        <w:spacing w:line="276" w:lineRule="auto"/>
        <w:jc w:val="both"/>
        <w:rPr>
          <w:sz w:val="22"/>
        </w:rPr>
      </w:pPr>
      <w:r>
        <w:rPr>
          <w:sz w:val="22"/>
        </w:rPr>
        <w:t xml:space="preserve">This year, the offer will be launched for the </w:t>
      </w:r>
      <w:r>
        <w:rPr>
          <w:b/>
          <w:sz w:val="22"/>
        </w:rPr>
        <w:t>Bourg-</w:t>
      </w:r>
      <w:proofErr w:type="spellStart"/>
      <w:r>
        <w:rPr>
          <w:b/>
          <w:sz w:val="22"/>
        </w:rPr>
        <w:t>en</w:t>
      </w:r>
      <w:proofErr w:type="spellEnd"/>
      <w:r>
        <w:rPr>
          <w:b/>
          <w:sz w:val="22"/>
        </w:rPr>
        <w:t>-</w:t>
      </w:r>
      <w:proofErr w:type="spellStart"/>
      <w:r>
        <w:rPr>
          <w:b/>
          <w:sz w:val="22"/>
        </w:rPr>
        <w:t>Bresse</w:t>
      </w:r>
      <w:proofErr w:type="spellEnd"/>
      <w:r>
        <w:rPr>
          <w:sz w:val="22"/>
        </w:rPr>
        <w:t xml:space="preserve">, </w:t>
      </w:r>
      <w:r>
        <w:rPr>
          <w:b/>
          <w:sz w:val="22"/>
        </w:rPr>
        <w:t>Le Mans</w:t>
      </w:r>
      <w:r>
        <w:rPr>
          <w:sz w:val="22"/>
        </w:rPr>
        <w:t xml:space="preserve">, </w:t>
      </w:r>
      <w:proofErr w:type="spellStart"/>
      <w:r>
        <w:rPr>
          <w:b/>
          <w:sz w:val="22"/>
        </w:rPr>
        <w:t>Besançon</w:t>
      </w:r>
      <w:proofErr w:type="spellEnd"/>
      <w:r>
        <w:rPr>
          <w:sz w:val="22"/>
        </w:rPr>
        <w:t xml:space="preserve"> and </w:t>
      </w:r>
      <w:proofErr w:type="spellStart"/>
      <w:r>
        <w:rPr>
          <w:b/>
          <w:sz w:val="22"/>
        </w:rPr>
        <w:t>Chambéry</w:t>
      </w:r>
      <w:proofErr w:type="spellEnd"/>
      <w:r>
        <w:rPr>
          <w:sz w:val="22"/>
        </w:rPr>
        <w:t xml:space="preserve"> networks.</w:t>
      </w:r>
    </w:p>
    <w:p w14:paraId="6EBE3129" w14:textId="23082618" w:rsidR="002B449B" w:rsidRDefault="002B449B" w:rsidP="00FC6EA6">
      <w:pPr>
        <w:spacing w:line="276" w:lineRule="auto"/>
        <w:jc w:val="both"/>
        <w:rPr>
          <w:rFonts w:asciiTheme="majorHAnsi" w:eastAsiaTheme="majorEastAsia" w:hAnsiTheme="majorHAnsi" w:cstheme="majorBidi"/>
          <w:b/>
          <w:bCs/>
          <w:color w:val="00AAC3" w:themeColor="text2"/>
          <w:sz w:val="24"/>
          <w:szCs w:val="24"/>
        </w:rPr>
      </w:pPr>
    </w:p>
    <w:p w14:paraId="114170C7" w14:textId="01BA4A7E" w:rsidR="00AF0514" w:rsidRPr="00A85361" w:rsidRDefault="00910982" w:rsidP="00A85361">
      <w:pPr>
        <w:spacing w:line="276" w:lineRule="auto"/>
        <w:jc w:val="center"/>
        <w:rPr>
          <w:sz w:val="22"/>
        </w:rPr>
      </w:pPr>
      <w:r>
        <w:rPr>
          <w:sz w:val="22"/>
        </w:rPr>
        <w:t>------------</w:t>
      </w:r>
    </w:p>
    <w:p w14:paraId="37A2B335" w14:textId="77777777" w:rsidR="00910982" w:rsidRPr="00737EA3" w:rsidRDefault="00910982" w:rsidP="00BB1DA3">
      <w:pPr>
        <w:spacing w:line="276" w:lineRule="auto"/>
        <w:jc w:val="both"/>
        <w:rPr>
          <w:sz w:val="22"/>
          <w:highlight w:val="yellow"/>
        </w:rPr>
      </w:pPr>
    </w:p>
    <w:p w14:paraId="15F64686" w14:textId="6581EA0B" w:rsidR="00A85361" w:rsidRPr="0018553B" w:rsidRDefault="00C456AE" w:rsidP="00A93921">
      <w:pPr>
        <w:spacing w:line="276" w:lineRule="auto"/>
        <w:jc w:val="both"/>
        <w:rPr>
          <w:sz w:val="22"/>
        </w:rPr>
      </w:pPr>
      <w:r>
        <w:rPr>
          <w:sz w:val="22"/>
        </w:rPr>
        <w:t>Significan</w:t>
      </w:r>
      <w:r w:rsidR="007729D3">
        <w:rPr>
          <w:sz w:val="22"/>
        </w:rPr>
        <w:t>t</w:t>
      </w:r>
      <w:r>
        <w:rPr>
          <w:sz w:val="22"/>
        </w:rPr>
        <w:t xml:space="preserve"> growth</w:t>
      </w:r>
      <w:r w:rsidR="00A5647E" w:rsidRPr="0018553B">
        <w:rPr>
          <w:sz w:val="22"/>
        </w:rPr>
        <w:t xml:space="preserve"> in turnover and profitability confirm</w:t>
      </w:r>
      <w:r>
        <w:rPr>
          <w:sz w:val="22"/>
        </w:rPr>
        <w:t>s</w:t>
      </w:r>
      <w:r w:rsidR="00A5647E" w:rsidRPr="0018553B">
        <w:rPr>
          <w:sz w:val="22"/>
        </w:rPr>
        <w:t xml:space="preserve"> the pertinence of the </w:t>
      </w:r>
      <w:r w:rsidR="00624FAB" w:rsidRPr="0018553B">
        <w:rPr>
          <w:sz w:val="22"/>
        </w:rPr>
        <w:t xml:space="preserve">Keolis Group’s </w:t>
      </w:r>
      <w:r w:rsidR="00A5647E" w:rsidRPr="0018553B">
        <w:rPr>
          <w:sz w:val="22"/>
        </w:rPr>
        <w:t>strateg</w:t>
      </w:r>
      <w:r>
        <w:rPr>
          <w:sz w:val="22"/>
        </w:rPr>
        <w:t>y</w:t>
      </w:r>
      <w:r w:rsidR="00A5647E" w:rsidRPr="0018553B">
        <w:rPr>
          <w:sz w:val="22"/>
        </w:rPr>
        <w:t xml:space="preserve">. </w:t>
      </w:r>
      <w:r>
        <w:rPr>
          <w:sz w:val="22"/>
        </w:rPr>
        <w:t xml:space="preserve">Profitable growth secures </w:t>
      </w:r>
      <w:r w:rsidR="00624FAB" w:rsidRPr="0018553B">
        <w:rPr>
          <w:sz w:val="22"/>
        </w:rPr>
        <w:t xml:space="preserve">Keolis </w:t>
      </w:r>
      <w:r w:rsidR="00A5647E" w:rsidRPr="0018553B">
        <w:rPr>
          <w:sz w:val="22"/>
        </w:rPr>
        <w:t>Group’s transformation</w:t>
      </w:r>
      <w:r>
        <w:rPr>
          <w:sz w:val="22"/>
        </w:rPr>
        <w:t xml:space="preserve"> towards </w:t>
      </w:r>
      <w:r w:rsidR="00A5647E" w:rsidRPr="0018553B">
        <w:rPr>
          <w:sz w:val="22"/>
        </w:rPr>
        <w:t xml:space="preserve">mobility solutions of the future, which will be shared, sustainable, </w:t>
      </w:r>
      <w:r w:rsidR="00203FCE" w:rsidRPr="0018553B">
        <w:rPr>
          <w:sz w:val="22"/>
        </w:rPr>
        <w:t xml:space="preserve">connected </w:t>
      </w:r>
      <w:r w:rsidR="00A5647E" w:rsidRPr="0018553B">
        <w:rPr>
          <w:sz w:val="22"/>
        </w:rPr>
        <w:t>and automated.</w:t>
      </w:r>
    </w:p>
    <w:p w14:paraId="53E77409" w14:textId="77777777" w:rsidR="00A85361" w:rsidRPr="0018553B" w:rsidRDefault="00A85361" w:rsidP="00A93921">
      <w:pPr>
        <w:spacing w:line="276" w:lineRule="auto"/>
        <w:jc w:val="both"/>
        <w:rPr>
          <w:color w:val="FF0000"/>
          <w:sz w:val="22"/>
          <w:highlight w:val="yellow"/>
        </w:rPr>
      </w:pPr>
    </w:p>
    <w:p w14:paraId="3BF09567" w14:textId="4B8BE3B4" w:rsidR="00E52153" w:rsidRPr="0018553B" w:rsidRDefault="00E52153" w:rsidP="00BB1DA3">
      <w:pPr>
        <w:spacing w:line="276" w:lineRule="auto"/>
        <w:jc w:val="both"/>
        <w:rPr>
          <w:sz w:val="22"/>
        </w:rPr>
      </w:pPr>
      <w:r w:rsidRPr="0018553B">
        <w:rPr>
          <w:sz w:val="22"/>
        </w:rPr>
        <w:t xml:space="preserve">In 2018, the </w:t>
      </w:r>
      <w:r w:rsidR="00624FAB" w:rsidRPr="0018553B">
        <w:rPr>
          <w:sz w:val="22"/>
        </w:rPr>
        <w:t xml:space="preserve">Keolis </w:t>
      </w:r>
      <w:r w:rsidRPr="0018553B">
        <w:rPr>
          <w:sz w:val="22"/>
        </w:rPr>
        <w:t xml:space="preserve">Group balanced its </w:t>
      </w:r>
      <w:r w:rsidR="00C25CBE" w:rsidRPr="0018553B">
        <w:rPr>
          <w:sz w:val="22"/>
        </w:rPr>
        <w:t xml:space="preserve">activities </w:t>
      </w:r>
      <w:r w:rsidRPr="0018553B">
        <w:rPr>
          <w:sz w:val="22"/>
        </w:rPr>
        <w:t>between France and the international market, both in</w:t>
      </w:r>
      <w:r w:rsidR="00C25CBE" w:rsidRPr="0018553B">
        <w:rPr>
          <w:sz w:val="22"/>
        </w:rPr>
        <w:t xml:space="preserve"> terms of</w:t>
      </w:r>
      <w:r w:rsidRPr="0018553B">
        <w:rPr>
          <w:sz w:val="22"/>
        </w:rPr>
        <w:t xml:space="preserve"> turnover (51% vs 49%) and its 3.3 billion annual passengers.</w:t>
      </w:r>
    </w:p>
    <w:p w14:paraId="2A0139D7" w14:textId="77777777" w:rsidR="00E52153" w:rsidRPr="0018553B" w:rsidRDefault="00E52153" w:rsidP="00BB1DA3">
      <w:pPr>
        <w:spacing w:line="276" w:lineRule="auto"/>
        <w:jc w:val="both"/>
        <w:rPr>
          <w:sz w:val="22"/>
        </w:rPr>
      </w:pPr>
    </w:p>
    <w:p w14:paraId="68E66DD5" w14:textId="3126386F" w:rsidR="005C5FB9" w:rsidRPr="0018553B" w:rsidRDefault="002D112C" w:rsidP="00BB1DA3">
      <w:pPr>
        <w:spacing w:line="276" w:lineRule="auto"/>
        <w:jc w:val="both"/>
        <w:rPr>
          <w:sz w:val="22"/>
        </w:rPr>
      </w:pPr>
      <w:r w:rsidRPr="0018553B">
        <w:rPr>
          <w:sz w:val="22"/>
        </w:rPr>
        <w:t>S</w:t>
      </w:r>
      <w:r w:rsidR="005C5FB9" w:rsidRPr="0018553B">
        <w:rPr>
          <w:sz w:val="22"/>
        </w:rPr>
        <w:t>ymbol</w:t>
      </w:r>
      <w:r w:rsidRPr="0018553B">
        <w:rPr>
          <w:sz w:val="22"/>
        </w:rPr>
        <w:t>ising</w:t>
      </w:r>
      <w:r w:rsidR="005C5FB9" w:rsidRPr="0018553B">
        <w:rPr>
          <w:sz w:val="22"/>
        </w:rPr>
        <w:t xml:space="preserve"> </w:t>
      </w:r>
      <w:r w:rsidR="00624FAB" w:rsidRPr="0018553B">
        <w:rPr>
          <w:sz w:val="22"/>
        </w:rPr>
        <w:t xml:space="preserve">the </w:t>
      </w:r>
      <w:r w:rsidR="005C5FB9" w:rsidRPr="0018553B">
        <w:rPr>
          <w:sz w:val="22"/>
        </w:rPr>
        <w:t>dynamism</w:t>
      </w:r>
      <w:r w:rsidR="00624FAB" w:rsidRPr="0018553B">
        <w:rPr>
          <w:sz w:val="22"/>
        </w:rPr>
        <w:t xml:space="preserve"> of the Keolis Group</w:t>
      </w:r>
      <w:r w:rsidR="005C5FB9" w:rsidRPr="0018553B">
        <w:rPr>
          <w:sz w:val="22"/>
        </w:rPr>
        <w:t xml:space="preserve">, the headcount at Keolis increased by 3%, totalling 65,000 employees (37,000 in France and 28,000 internationally) </w:t>
      </w:r>
      <w:r w:rsidR="00C456AE">
        <w:rPr>
          <w:sz w:val="22"/>
        </w:rPr>
        <w:t xml:space="preserve">in 16 countries at </w:t>
      </w:r>
      <w:r w:rsidR="005C5FB9" w:rsidRPr="0018553B">
        <w:rPr>
          <w:sz w:val="22"/>
        </w:rPr>
        <w:t>the end of 2018.</w:t>
      </w:r>
      <w:r w:rsidR="00203FCE" w:rsidRPr="0018553B">
        <w:rPr>
          <w:sz w:val="22"/>
        </w:rPr>
        <w:t xml:space="preserve"> </w:t>
      </w:r>
      <w:r w:rsidR="00C456AE">
        <w:rPr>
          <w:sz w:val="22"/>
        </w:rPr>
        <w:t xml:space="preserve">In parallel, </w:t>
      </w:r>
      <w:r w:rsidR="00A04441">
        <w:rPr>
          <w:sz w:val="22"/>
        </w:rPr>
        <w:t xml:space="preserve">2018 saw </w:t>
      </w:r>
      <w:r w:rsidR="00203FCE" w:rsidRPr="0018553B">
        <w:rPr>
          <w:sz w:val="22"/>
        </w:rPr>
        <w:t>the Group recruit</w:t>
      </w:r>
      <w:r w:rsidR="00A04441">
        <w:rPr>
          <w:sz w:val="22"/>
        </w:rPr>
        <w:t xml:space="preserve"> </w:t>
      </w:r>
      <w:r w:rsidR="00203FCE" w:rsidRPr="0018553B">
        <w:rPr>
          <w:sz w:val="22"/>
        </w:rPr>
        <w:t>4,460 employees in France and 3,907 internationally, excluding acquisitions.</w:t>
      </w:r>
    </w:p>
    <w:p w14:paraId="1F1712DA" w14:textId="77777777" w:rsidR="00203FCE" w:rsidRDefault="00203FCE" w:rsidP="00572340">
      <w:pPr>
        <w:jc w:val="both"/>
        <w:rPr>
          <w:color w:val="21A1BB"/>
          <w:sz w:val="16"/>
        </w:rPr>
      </w:pPr>
    </w:p>
    <w:p w14:paraId="0AC1A56E" w14:textId="317ECE5E" w:rsidR="00572340" w:rsidRDefault="00572340" w:rsidP="00572340">
      <w:pPr>
        <w:jc w:val="both"/>
        <w:rPr>
          <w:color w:val="21A1BB"/>
          <w:sz w:val="16"/>
        </w:rPr>
      </w:pPr>
      <w:bookmarkStart w:id="2" w:name="_Hlk6308786"/>
      <w:r>
        <w:rPr>
          <w:color w:val="21A1BB"/>
          <w:sz w:val="16"/>
        </w:rPr>
        <w:t xml:space="preserve">Keolis, a pioneer in the development of public transport services, works with public decision makers </w:t>
      </w:r>
      <w:r w:rsidR="00A04441">
        <w:rPr>
          <w:color w:val="21A1BB"/>
          <w:sz w:val="16"/>
        </w:rPr>
        <w:t>aiming to enhance the attractiveness and vitality of their territories using shared mobility.</w:t>
      </w:r>
      <w:r>
        <w:rPr>
          <w:color w:val="21A1BB"/>
          <w:sz w:val="16"/>
        </w:rPr>
        <w:t xml:space="preserve"> Global leader in the operation of automated metro and tram networks, Keolis </w:t>
      </w:r>
      <w:r w:rsidR="00A04441">
        <w:rPr>
          <w:color w:val="21A1BB"/>
          <w:sz w:val="16"/>
        </w:rPr>
        <w:t>is committed to a policy of s</w:t>
      </w:r>
      <w:r>
        <w:rPr>
          <w:color w:val="21A1BB"/>
          <w:sz w:val="16"/>
        </w:rPr>
        <w:t>trong, open innovation with all its partners and subsidiaries</w:t>
      </w:r>
      <w:r w:rsidR="00E126BE">
        <w:rPr>
          <w:color w:val="21A1BB"/>
          <w:sz w:val="16"/>
        </w:rPr>
        <w:t xml:space="preserve">: </w:t>
      </w:r>
      <w:proofErr w:type="spellStart"/>
      <w:r>
        <w:rPr>
          <w:color w:val="21A1BB"/>
          <w:sz w:val="16"/>
        </w:rPr>
        <w:t>Kisio</w:t>
      </w:r>
      <w:proofErr w:type="spellEnd"/>
      <w:r>
        <w:rPr>
          <w:color w:val="21A1BB"/>
          <w:sz w:val="16"/>
        </w:rPr>
        <w:t xml:space="preserve">, EFFIA, Keolis Santé, </w:t>
      </w:r>
      <w:proofErr w:type="spellStart"/>
      <w:r>
        <w:rPr>
          <w:color w:val="21A1BB"/>
          <w:sz w:val="16"/>
        </w:rPr>
        <w:t>Cykleo</w:t>
      </w:r>
      <w:proofErr w:type="spellEnd"/>
      <w:r w:rsidR="007729D3">
        <w:rPr>
          <w:color w:val="21A1BB"/>
          <w:sz w:val="16"/>
        </w:rPr>
        <w:t>. T</w:t>
      </w:r>
      <w:r w:rsidR="00A04441">
        <w:rPr>
          <w:color w:val="21A1BB"/>
          <w:sz w:val="16"/>
        </w:rPr>
        <w:t xml:space="preserve">his commitment </w:t>
      </w:r>
      <w:r>
        <w:rPr>
          <w:color w:val="21A1BB"/>
          <w:sz w:val="16"/>
        </w:rPr>
        <w:t>strengthen</w:t>
      </w:r>
      <w:r w:rsidR="00C65342">
        <w:rPr>
          <w:color w:val="21A1BB"/>
          <w:sz w:val="16"/>
        </w:rPr>
        <w:t>s</w:t>
      </w:r>
      <w:r w:rsidR="00A04441">
        <w:rPr>
          <w:color w:val="21A1BB"/>
          <w:sz w:val="16"/>
        </w:rPr>
        <w:t xml:space="preserve"> the </w:t>
      </w:r>
      <w:r>
        <w:rPr>
          <w:color w:val="21A1BB"/>
          <w:sz w:val="16"/>
        </w:rPr>
        <w:t xml:space="preserve">core business and </w:t>
      </w:r>
      <w:r w:rsidR="00A04441">
        <w:rPr>
          <w:color w:val="21A1BB"/>
          <w:sz w:val="16"/>
        </w:rPr>
        <w:t xml:space="preserve">enables </w:t>
      </w:r>
      <w:r>
        <w:rPr>
          <w:color w:val="21A1BB"/>
          <w:sz w:val="16"/>
        </w:rPr>
        <w:t>new, innovative and “customised” shared mobility offers</w:t>
      </w:r>
      <w:r w:rsidR="00A04441">
        <w:rPr>
          <w:color w:val="21A1BB"/>
          <w:sz w:val="16"/>
        </w:rPr>
        <w:t xml:space="preserve"> for </w:t>
      </w:r>
      <w:r>
        <w:rPr>
          <w:color w:val="21A1BB"/>
          <w:sz w:val="16"/>
        </w:rPr>
        <w:t>trains, buses and coaches, trolley buses, collective private driver services, river and sea shuttles, self-service bicycles, car-sharing, 100% electric automated shuttles, urban cable cars</w:t>
      </w:r>
      <w:r w:rsidR="00A04441">
        <w:rPr>
          <w:color w:val="21A1BB"/>
          <w:sz w:val="16"/>
        </w:rPr>
        <w:t xml:space="preserve"> and other modes. </w:t>
      </w:r>
      <w:r>
        <w:rPr>
          <w:color w:val="21A1BB"/>
          <w:sz w:val="16"/>
        </w:rPr>
        <w:t xml:space="preserve">In France, Keolis </w:t>
      </w:r>
      <w:r w:rsidR="00C65342">
        <w:rPr>
          <w:color w:val="21A1BB"/>
          <w:sz w:val="16"/>
        </w:rPr>
        <w:t xml:space="preserve">is </w:t>
      </w:r>
      <w:r>
        <w:rPr>
          <w:color w:val="21A1BB"/>
          <w:sz w:val="16"/>
        </w:rPr>
        <w:t xml:space="preserve">no. 2 in the parking market with its subsidiary EFFIA and no. 1 in medical transport, since Keolis Santé was </w:t>
      </w:r>
      <w:r w:rsidR="00C65342">
        <w:rPr>
          <w:color w:val="21A1BB"/>
          <w:sz w:val="16"/>
        </w:rPr>
        <w:t xml:space="preserve">created </w:t>
      </w:r>
      <w:r>
        <w:rPr>
          <w:color w:val="21A1BB"/>
          <w:sz w:val="16"/>
        </w:rPr>
        <w:t xml:space="preserve">in July 2017. </w:t>
      </w:r>
    </w:p>
    <w:p w14:paraId="41F42695" w14:textId="68BFA7B7" w:rsidR="00572340" w:rsidRDefault="00572340" w:rsidP="00572340">
      <w:pPr>
        <w:jc w:val="both"/>
        <w:rPr>
          <w:color w:val="21A1BB"/>
          <w:sz w:val="16"/>
        </w:rPr>
      </w:pPr>
      <w:r>
        <w:rPr>
          <w:color w:val="21A1BB"/>
          <w:sz w:val="16"/>
        </w:rPr>
        <w:t>70% owned by SNCF and 30% by CDPQ (</w:t>
      </w:r>
      <w:proofErr w:type="spellStart"/>
      <w:r>
        <w:rPr>
          <w:color w:val="21A1BB"/>
          <w:sz w:val="16"/>
        </w:rPr>
        <w:t>Caisse</w:t>
      </w:r>
      <w:proofErr w:type="spellEnd"/>
      <w:r>
        <w:rPr>
          <w:color w:val="21A1BB"/>
          <w:sz w:val="16"/>
        </w:rPr>
        <w:t xml:space="preserve"> de </w:t>
      </w:r>
      <w:proofErr w:type="spellStart"/>
      <w:r>
        <w:rPr>
          <w:color w:val="21A1BB"/>
          <w:sz w:val="16"/>
        </w:rPr>
        <w:t>Dépôt</w:t>
      </w:r>
      <w:proofErr w:type="spellEnd"/>
      <w:r>
        <w:rPr>
          <w:color w:val="21A1BB"/>
          <w:sz w:val="16"/>
        </w:rPr>
        <w:t xml:space="preserve"> et Placement du Québec), the Group employs 65,000 people in 16 countries, and generated turnover of €5.9 billion in 2018. In</w:t>
      </w:r>
      <w:r w:rsidR="00E126BE">
        <w:rPr>
          <w:color w:val="21A1BB"/>
          <w:sz w:val="16"/>
        </w:rPr>
        <w:t xml:space="preserve"> the same year,</w:t>
      </w:r>
      <w:r>
        <w:rPr>
          <w:color w:val="21A1BB"/>
          <w:sz w:val="16"/>
        </w:rPr>
        <w:t xml:space="preserve"> 3.3 billion passengers used one of the shared mobility services proposed by Keolis. </w:t>
      </w:r>
    </w:p>
    <w:p w14:paraId="4E78EFC1" w14:textId="77777777" w:rsidR="00572340" w:rsidRDefault="00572340" w:rsidP="00572340">
      <w:pPr>
        <w:jc w:val="both"/>
        <w:rPr>
          <w:color w:val="21A1BB"/>
          <w:sz w:val="16"/>
        </w:rPr>
      </w:pPr>
    </w:p>
    <w:p w14:paraId="10929FD9" w14:textId="6A7739FA" w:rsidR="00572340" w:rsidRDefault="00572340" w:rsidP="00572340">
      <w:pPr>
        <w:rPr>
          <w:color w:val="21A1BB"/>
          <w:sz w:val="14"/>
        </w:rPr>
      </w:pPr>
      <w:r>
        <w:rPr>
          <w:color w:val="21A1BB"/>
          <w:sz w:val="14"/>
        </w:rPr>
        <w:t xml:space="preserve">* Keolis is historically present in France and has developed in Australia, Belgium, Canada, China, Denmark, Germany, India, Luxembourg, Netherlands, Norway, Qatar, </w:t>
      </w:r>
      <w:r w:rsidR="00203FCE">
        <w:rPr>
          <w:color w:val="21A1BB"/>
          <w:sz w:val="14"/>
        </w:rPr>
        <w:t xml:space="preserve">Senegal, </w:t>
      </w:r>
      <w:r>
        <w:rPr>
          <w:color w:val="21A1BB"/>
          <w:sz w:val="14"/>
        </w:rPr>
        <w:t>Sweden, the UK and the USA.</w:t>
      </w:r>
    </w:p>
    <w:bookmarkEnd w:id="2"/>
    <w:p w14:paraId="1734D665" w14:textId="77777777" w:rsidR="0009640D" w:rsidRDefault="0009640D" w:rsidP="00BF5826">
      <w:pPr>
        <w:pStyle w:val="Textedesaisie"/>
      </w:pPr>
    </w:p>
    <w:tbl>
      <w:tblPr>
        <w:tblStyle w:val="Tabellrutnt"/>
        <w:tblW w:w="9072" w:type="dxa"/>
        <w:tblLayout w:type="fixed"/>
        <w:tblLook w:val="04A0" w:firstRow="1" w:lastRow="0" w:firstColumn="1" w:lastColumn="0" w:noHBand="0" w:noVBand="1"/>
      </w:tblPr>
      <w:tblGrid>
        <w:gridCol w:w="4139"/>
        <w:gridCol w:w="284"/>
        <w:gridCol w:w="4649"/>
      </w:tblGrid>
      <w:tr w:rsidR="00D2471C" w14:paraId="7DDABFD8" w14:textId="77777777" w:rsidTr="00C075F3">
        <w:trPr>
          <w:trHeight w:val="280"/>
        </w:trPr>
        <w:tc>
          <w:tcPr>
            <w:tcW w:w="9072" w:type="dxa"/>
            <w:gridSpan w:val="3"/>
          </w:tcPr>
          <w:p w14:paraId="6111AB05" w14:textId="0BB22FA1" w:rsidR="00D2471C" w:rsidRDefault="00D2471C" w:rsidP="00D2471C">
            <w:pPr>
              <w:pStyle w:val="Titrecontact"/>
            </w:pPr>
          </w:p>
        </w:tc>
      </w:tr>
      <w:tr w:rsidR="0009640D" w14:paraId="7A287BA1" w14:textId="77777777" w:rsidTr="0009640D">
        <w:trPr>
          <w:trHeight w:val="280"/>
        </w:trPr>
        <w:tc>
          <w:tcPr>
            <w:tcW w:w="4139" w:type="dxa"/>
          </w:tcPr>
          <w:p w14:paraId="57960009" w14:textId="230E1A38" w:rsidR="00D2471C" w:rsidRPr="0095535F" w:rsidRDefault="00D2471C" w:rsidP="00D2471C">
            <w:pPr>
              <w:pStyle w:val="Textecontact"/>
              <w:rPr>
                <w:sz w:val="22"/>
              </w:rPr>
            </w:pPr>
          </w:p>
        </w:tc>
        <w:tc>
          <w:tcPr>
            <w:tcW w:w="284" w:type="dxa"/>
          </w:tcPr>
          <w:p w14:paraId="308C2E17" w14:textId="77777777" w:rsidR="0009640D" w:rsidRPr="0095535F" w:rsidRDefault="0009640D" w:rsidP="00BF5826">
            <w:pPr>
              <w:pStyle w:val="Textedesaisie"/>
              <w:rPr>
                <w:sz w:val="22"/>
              </w:rPr>
            </w:pPr>
          </w:p>
        </w:tc>
        <w:tc>
          <w:tcPr>
            <w:tcW w:w="4649" w:type="dxa"/>
          </w:tcPr>
          <w:p w14:paraId="2AF45332" w14:textId="7A2728B6" w:rsidR="00D2471C" w:rsidRPr="0095535F" w:rsidRDefault="00D2471C" w:rsidP="00D2471C">
            <w:pPr>
              <w:pStyle w:val="Textecontact"/>
              <w:rPr>
                <w:sz w:val="22"/>
              </w:rPr>
            </w:pPr>
          </w:p>
        </w:tc>
      </w:tr>
    </w:tbl>
    <w:p w14:paraId="7E1BCC5A" w14:textId="77777777" w:rsidR="0009640D" w:rsidRPr="00B677E9" w:rsidRDefault="0009640D" w:rsidP="00E6494D">
      <w:pPr>
        <w:spacing w:line="276" w:lineRule="auto"/>
        <w:jc w:val="both"/>
      </w:pPr>
    </w:p>
    <w:sectPr w:rsidR="0009640D" w:rsidRPr="00B677E9" w:rsidSect="006D3ED2">
      <w:headerReference w:type="default" r:id="rId8"/>
      <w:footerReference w:type="default" r:id="rId9"/>
      <w:headerReference w:type="first" r:id="rId10"/>
      <w:footerReference w:type="first" r:id="rId11"/>
      <w:type w:val="continuous"/>
      <w:pgSz w:w="11906" w:h="16838" w:code="9"/>
      <w:pgMar w:top="1418" w:right="1418" w:bottom="56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614AF" w14:textId="77777777" w:rsidR="000976C8" w:rsidRDefault="000976C8" w:rsidP="00BB63D0">
      <w:r>
        <w:separator/>
      </w:r>
    </w:p>
  </w:endnote>
  <w:endnote w:type="continuationSeparator" w:id="0">
    <w:p w14:paraId="6532B8E1" w14:textId="77777777" w:rsidR="000976C8" w:rsidRDefault="000976C8" w:rsidP="00BB6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66394"/>
      <w:docPartObj>
        <w:docPartGallery w:val="Page Numbers (Bottom of Page)"/>
        <w:docPartUnique/>
      </w:docPartObj>
    </w:sdtPr>
    <w:sdtEndPr/>
    <w:sdtContent>
      <w:p w14:paraId="4EB68080" w14:textId="05DC8F71" w:rsidR="00C25CBE" w:rsidRDefault="00C25CBE">
        <w:pPr>
          <w:pStyle w:val="Sidfot"/>
          <w:jc w:val="right"/>
        </w:pPr>
        <w:r>
          <w:fldChar w:fldCharType="begin"/>
        </w:r>
        <w:r>
          <w:instrText>PAGE   \* MERGEFORMAT</w:instrText>
        </w:r>
        <w:r>
          <w:fldChar w:fldCharType="separate"/>
        </w:r>
        <w:r w:rsidR="00A4048B">
          <w:rPr>
            <w:noProof/>
          </w:rPr>
          <w:t>8</w:t>
        </w:r>
        <w:r>
          <w:fldChar w:fldCharType="end"/>
        </w:r>
      </w:p>
    </w:sdtContent>
  </w:sdt>
  <w:p w14:paraId="54C9F457" w14:textId="77777777" w:rsidR="00C25CBE" w:rsidRDefault="00C25CB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CEA06" w14:textId="77777777" w:rsidR="00C25CBE" w:rsidRDefault="00C25CBE">
    <w:pPr>
      <w:pStyle w:val="Sidfot"/>
    </w:pPr>
  </w:p>
  <w:p w14:paraId="565AE23D" w14:textId="77777777" w:rsidR="00C25CBE" w:rsidRDefault="00C25CBE">
    <w:pPr>
      <w:pStyle w:val="Sidfot"/>
    </w:pPr>
  </w:p>
  <w:p w14:paraId="77A613F3" w14:textId="77777777" w:rsidR="00C25CBE" w:rsidRDefault="00C25C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936CB" w14:textId="77777777" w:rsidR="000976C8" w:rsidRDefault="000976C8" w:rsidP="00BB63D0">
      <w:r>
        <w:separator/>
      </w:r>
    </w:p>
  </w:footnote>
  <w:footnote w:type="continuationSeparator" w:id="0">
    <w:p w14:paraId="7FF448DA" w14:textId="77777777" w:rsidR="000976C8" w:rsidRDefault="000976C8" w:rsidP="00BB6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pPr w:vertAnchor="page" w:horzAnchor="page" w:tblpXSpec="center" w:tblpYSpec="bottom"/>
      <w:tblW w:w="9072" w:type="dxa"/>
      <w:tblLayout w:type="fixed"/>
      <w:tblLook w:val="0600" w:firstRow="0" w:lastRow="0" w:firstColumn="0" w:lastColumn="0" w:noHBand="1" w:noVBand="1"/>
    </w:tblPr>
    <w:tblGrid>
      <w:gridCol w:w="4536"/>
      <w:gridCol w:w="4536"/>
    </w:tblGrid>
    <w:tr w:rsidR="00C25CBE" w14:paraId="4E49CE02" w14:textId="77777777" w:rsidTr="00C075F3">
      <w:trPr>
        <w:trHeight w:val="240"/>
      </w:trPr>
      <w:tc>
        <w:tcPr>
          <w:tcW w:w="4536" w:type="dxa"/>
        </w:tcPr>
        <w:p w14:paraId="0EDC24C5" w14:textId="4A41E6A7" w:rsidR="00C25CBE" w:rsidRPr="006D3ED2" w:rsidRDefault="00C25CBE" w:rsidP="00AC313C">
          <w:pPr>
            <w:pStyle w:val="Dateautomatique"/>
          </w:pPr>
        </w:p>
      </w:tc>
      <w:tc>
        <w:tcPr>
          <w:tcW w:w="4536" w:type="dxa"/>
        </w:tcPr>
        <w:p w14:paraId="2E7B6120" w14:textId="2DCC0757" w:rsidR="00C25CBE" w:rsidRPr="006D3ED2" w:rsidRDefault="00C25CBE" w:rsidP="00C075F3">
          <w:pPr>
            <w:pStyle w:val="Pagination"/>
          </w:pPr>
        </w:p>
      </w:tc>
    </w:tr>
    <w:tr w:rsidR="00C25CBE" w14:paraId="0ABB4B29" w14:textId="77777777" w:rsidTr="00C075F3">
      <w:trPr>
        <w:trHeight w:hRule="exact" w:val="680"/>
      </w:trPr>
      <w:tc>
        <w:tcPr>
          <w:tcW w:w="9072" w:type="dxa"/>
          <w:gridSpan w:val="2"/>
        </w:tcPr>
        <w:p w14:paraId="00710436" w14:textId="77777777" w:rsidR="00C25CBE" w:rsidRPr="00C52C30" w:rsidRDefault="00C25CBE" w:rsidP="00C075F3"/>
      </w:tc>
    </w:tr>
  </w:tbl>
  <w:p w14:paraId="4E3F1892" w14:textId="77777777" w:rsidR="00C25CBE" w:rsidRDefault="00C25CBE">
    <w:pPr>
      <w:pStyle w:val="Sidhuvud"/>
    </w:pPr>
    <w:r>
      <w:rPr>
        <w:noProof/>
        <w:lang w:val="sv-SE" w:eastAsia="sv-SE"/>
      </w:rPr>
      <w:drawing>
        <wp:anchor distT="0" distB="0" distL="114300" distR="114300" simplePos="0" relativeHeight="251660288" behindDoc="1" locked="0" layoutInCell="1" allowOverlap="1" wp14:anchorId="0512C8A8" wp14:editId="3CA878C6">
          <wp:simplePos x="0" y="0"/>
          <wp:positionH relativeFrom="page">
            <wp:posOffset>720090</wp:posOffset>
          </wp:positionH>
          <wp:positionV relativeFrom="page">
            <wp:posOffset>360045</wp:posOffset>
          </wp:positionV>
          <wp:extent cx="1805040" cy="360000"/>
          <wp:effectExtent l="0" t="0" r="5080" b="254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2.png"/>
                  <pic:cNvPicPr/>
                </pic:nvPicPr>
                <pic:blipFill>
                  <a:blip r:embed="rId1">
                    <a:extLst>
                      <a:ext uri="{28A0092B-C50C-407E-A947-70E740481C1C}">
                        <a14:useLocalDpi xmlns:a14="http://schemas.microsoft.com/office/drawing/2010/main" val="0"/>
                      </a:ext>
                    </a:extLst>
                  </a:blip>
                  <a:stretch>
                    <a:fillRect/>
                  </a:stretch>
                </pic:blipFill>
                <pic:spPr>
                  <a:xfrm>
                    <a:off x="0" y="0"/>
                    <a:ext cx="180504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pPr w:vertAnchor="page" w:horzAnchor="page" w:tblpXSpec="center" w:tblpYSpec="bottom"/>
      <w:tblW w:w="9072" w:type="dxa"/>
      <w:tblLayout w:type="fixed"/>
      <w:tblLook w:val="0600" w:firstRow="0" w:lastRow="0" w:firstColumn="0" w:lastColumn="0" w:noHBand="1" w:noVBand="1"/>
    </w:tblPr>
    <w:tblGrid>
      <w:gridCol w:w="4536"/>
      <w:gridCol w:w="4536"/>
    </w:tblGrid>
    <w:tr w:rsidR="00C25CBE" w14:paraId="0AA1CB90" w14:textId="77777777" w:rsidTr="00C075F3">
      <w:trPr>
        <w:trHeight w:val="240"/>
      </w:trPr>
      <w:tc>
        <w:tcPr>
          <w:tcW w:w="4536" w:type="dxa"/>
        </w:tcPr>
        <w:p w14:paraId="02A13574" w14:textId="5423EE0A" w:rsidR="00C25CBE" w:rsidRPr="006D3ED2" w:rsidRDefault="00C25CBE" w:rsidP="00C075F3">
          <w:pPr>
            <w:pStyle w:val="Dateautomatique"/>
          </w:pPr>
        </w:p>
      </w:tc>
      <w:tc>
        <w:tcPr>
          <w:tcW w:w="4536" w:type="dxa"/>
        </w:tcPr>
        <w:p w14:paraId="7D8C4E39" w14:textId="1619465F" w:rsidR="00C25CBE" w:rsidRPr="006D3ED2" w:rsidRDefault="00C25CBE" w:rsidP="00C075F3">
          <w:pPr>
            <w:pStyle w:val="Pagination"/>
          </w:pPr>
        </w:p>
      </w:tc>
    </w:tr>
    <w:tr w:rsidR="00C25CBE" w14:paraId="4BE29E25" w14:textId="77777777" w:rsidTr="00C52C30">
      <w:trPr>
        <w:trHeight w:hRule="exact" w:val="680"/>
      </w:trPr>
      <w:tc>
        <w:tcPr>
          <w:tcW w:w="9072" w:type="dxa"/>
          <w:gridSpan w:val="2"/>
        </w:tcPr>
        <w:p w14:paraId="7C0AF840" w14:textId="77777777" w:rsidR="00C25CBE" w:rsidRPr="00C52C30" w:rsidRDefault="00C25CBE" w:rsidP="00C52C30"/>
      </w:tc>
    </w:tr>
  </w:tbl>
  <w:p w14:paraId="4FD9C4B0" w14:textId="77777777" w:rsidR="00C25CBE" w:rsidRDefault="00C25CBE">
    <w:pPr>
      <w:pStyle w:val="Sidhuvud"/>
    </w:pPr>
    <w:r>
      <w:rPr>
        <w:noProof/>
        <w:lang w:val="sv-SE" w:eastAsia="sv-SE"/>
      </w:rPr>
      <w:drawing>
        <wp:anchor distT="0" distB="0" distL="114300" distR="114300" simplePos="0" relativeHeight="251657216" behindDoc="1" locked="0" layoutInCell="1" allowOverlap="1" wp14:anchorId="262E100F" wp14:editId="502AD7E7">
          <wp:simplePos x="0" y="0"/>
          <wp:positionH relativeFrom="page">
            <wp:posOffset>720090</wp:posOffset>
          </wp:positionH>
          <wp:positionV relativeFrom="page">
            <wp:posOffset>360045</wp:posOffset>
          </wp:positionV>
          <wp:extent cx="2885760" cy="720000"/>
          <wp:effectExtent l="0" t="0" r="0" b="444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1.png"/>
                  <pic:cNvPicPr/>
                </pic:nvPicPr>
                <pic:blipFill>
                  <a:blip r:embed="rId1">
                    <a:extLst>
                      <a:ext uri="{28A0092B-C50C-407E-A947-70E740481C1C}">
                        <a14:useLocalDpi xmlns:a14="http://schemas.microsoft.com/office/drawing/2010/main" val="0"/>
                      </a:ext>
                    </a:extLst>
                  </a:blip>
                  <a:stretch>
                    <a:fillRect/>
                  </a:stretch>
                </pic:blipFill>
                <pic:spPr>
                  <a:xfrm>
                    <a:off x="0" y="0"/>
                    <a:ext cx="288576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C19"/>
    <w:multiLevelType w:val="hybridMultilevel"/>
    <w:tmpl w:val="93EC42E0"/>
    <w:lvl w:ilvl="0" w:tplc="0DDAB35E">
      <w:start w:val="1"/>
      <w:numFmt w:val="bullet"/>
      <w:pStyle w:val="Textepuce"/>
      <w:lvlText w:val="•"/>
      <w:lvlJc w:val="left"/>
      <w:pPr>
        <w:ind w:left="720" w:hanging="360"/>
      </w:pPr>
      <w:rPr>
        <w:rFonts w:ascii="Arial" w:hAnsi="Arial" w:hint="default"/>
        <w:color w:val="00AAC3"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3A52E9"/>
    <w:multiLevelType w:val="hybridMultilevel"/>
    <w:tmpl w:val="50926E4E"/>
    <w:lvl w:ilvl="0" w:tplc="DD98B7F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562490"/>
    <w:multiLevelType w:val="hybridMultilevel"/>
    <w:tmpl w:val="A63606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ED243BD"/>
    <w:multiLevelType w:val="hybridMultilevel"/>
    <w:tmpl w:val="BDA2A572"/>
    <w:lvl w:ilvl="0" w:tplc="8C88EA0C">
      <w:start w:val="1"/>
      <w:numFmt w:val="bullet"/>
      <w:lvlText w:val=""/>
      <w:lvlJc w:val="left"/>
      <w:pPr>
        <w:tabs>
          <w:tab w:val="num" w:pos="720"/>
        </w:tabs>
        <w:ind w:left="720" w:hanging="360"/>
      </w:pPr>
      <w:rPr>
        <w:rFonts w:ascii="Wingdings" w:hAnsi="Wingdings" w:hint="default"/>
      </w:rPr>
    </w:lvl>
    <w:lvl w:ilvl="1" w:tplc="5EC40C32" w:tentative="1">
      <w:start w:val="1"/>
      <w:numFmt w:val="bullet"/>
      <w:lvlText w:val=""/>
      <w:lvlJc w:val="left"/>
      <w:pPr>
        <w:tabs>
          <w:tab w:val="num" w:pos="1440"/>
        </w:tabs>
        <w:ind w:left="1440" w:hanging="360"/>
      </w:pPr>
      <w:rPr>
        <w:rFonts w:ascii="Wingdings" w:hAnsi="Wingdings" w:hint="default"/>
      </w:rPr>
    </w:lvl>
    <w:lvl w:ilvl="2" w:tplc="413CE85A" w:tentative="1">
      <w:start w:val="1"/>
      <w:numFmt w:val="bullet"/>
      <w:lvlText w:val=""/>
      <w:lvlJc w:val="left"/>
      <w:pPr>
        <w:tabs>
          <w:tab w:val="num" w:pos="2160"/>
        </w:tabs>
        <w:ind w:left="2160" w:hanging="360"/>
      </w:pPr>
      <w:rPr>
        <w:rFonts w:ascii="Wingdings" w:hAnsi="Wingdings" w:hint="default"/>
      </w:rPr>
    </w:lvl>
    <w:lvl w:ilvl="3" w:tplc="417E0814" w:tentative="1">
      <w:start w:val="1"/>
      <w:numFmt w:val="bullet"/>
      <w:lvlText w:val=""/>
      <w:lvlJc w:val="left"/>
      <w:pPr>
        <w:tabs>
          <w:tab w:val="num" w:pos="2880"/>
        </w:tabs>
        <w:ind w:left="2880" w:hanging="360"/>
      </w:pPr>
      <w:rPr>
        <w:rFonts w:ascii="Wingdings" w:hAnsi="Wingdings" w:hint="default"/>
      </w:rPr>
    </w:lvl>
    <w:lvl w:ilvl="4" w:tplc="37088568" w:tentative="1">
      <w:start w:val="1"/>
      <w:numFmt w:val="bullet"/>
      <w:lvlText w:val=""/>
      <w:lvlJc w:val="left"/>
      <w:pPr>
        <w:tabs>
          <w:tab w:val="num" w:pos="3600"/>
        </w:tabs>
        <w:ind w:left="3600" w:hanging="360"/>
      </w:pPr>
      <w:rPr>
        <w:rFonts w:ascii="Wingdings" w:hAnsi="Wingdings" w:hint="default"/>
      </w:rPr>
    </w:lvl>
    <w:lvl w:ilvl="5" w:tplc="5D78235A" w:tentative="1">
      <w:start w:val="1"/>
      <w:numFmt w:val="bullet"/>
      <w:lvlText w:val=""/>
      <w:lvlJc w:val="left"/>
      <w:pPr>
        <w:tabs>
          <w:tab w:val="num" w:pos="4320"/>
        </w:tabs>
        <w:ind w:left="4320" w:hanging="360"/>
      </w:pPr>
      <w:rPr>
        <w:rFonts w:ascii="Wingdings" w:hAnsi="Wingdings" w:hint="default"/>
      </w:rPr>
    </w:lvl>
    <w:lvl w:ilvl="6" w:tplc="91AE60A4" w:tentative="1">
      <w:start w:val="1"/>
      <w:numFmt w:val="bullet"/>
      <w:lvlText w:val=""/>
      <w:lvlJc w:val="left"/>
      <w:pPr>
        <w:tabs>
          <w:tab w:val="num" w:pos="5040"/>
        </w:tabs>
        <w:ind w:left="5040" w:hanging="360"/>
      </w:pPr>
      <w:rPr>
        <w:rFonts w:ascii="Wingdings" w:hAnsi="Wingdings" w:hint="default"/>
      </w:rPr>
    </w:lvl>
    <w:lvl w:ilvl="7" w:tplc="C7942CFC" w:tentative="1">
      <w:start w:val="1"/>
      <w:numFmt w:val="bullet"/>
      <w:lvlText w:val=""/>
      <w:lvlJc w:val="left"/>
      <w:pPr>
        <w:tabs>
          <w:tab w:val="num" w:pos="5760"/>
        </w:tabs>
        <w:ind w:left="5760" w:hanging="360"/>
      </w:pPr>
      <w:rPr>
        <w:rFonts w:ascii="Wingdings" w:hAnsi="Wingdings" w:hint="default"/>
      </w:rPr>
    </w:lvl>
    <w:lvl w:ilvl="8" w:tplc="1D4AE78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4150DB"/>
    <w:multiLevelType w:val="hybridMultilevel"/>
    <w:tmpl w:val="33B4EB8E"/>
    <w:lvl w:ilvl="0" w:tplc="626AF738">
      <w:start w:val="1"/>
      <w:numFmt w:val="bullet"/>
      <w:lvlText w:val=""/>
      <w:lvlJc w:val="left"/>
      <w:pPr>
        <w:tabs>
          <w:tab w:val="num" w:pos="720"/>
        </w:tabs>
        <w:ind w:left="720" w:hanging="360"/>
      </w:pPr>
      <w:rPr>
        <w:rFonts w:ascii="Wingdings" w:hAnsi="Wingdings" w:hint="default"/>
      </w:rPr>
    </w:lvl>
    <w:lvl w:ilvl="1" w:tplc="A87E70B6" w:tentative="1">
      <w:start w:val="1"/>
      <w:numFmt w:val="bullet"/>
      <w:lvlText w:val=""/>
      <w:lvlJc w:val="left"/>
      <w:pPr>
        <w:tabs>
          <w:tab w:val="num" w:pos="1440"/>
        </w:tabs>
        <w:ind w:left="1440" w:hanging="360"/>
      </w:pPr>
      <w:rPr>
        <w:rFonts w:ascii="Wingdings" w:hAnsi="Wingdings" w:hint="default"/>
      </w:rPr>
    </w:lvl>
    <w:lvl w:ilvl="2" w:tplc="7FC633CE" w:tentative="1">
      <w:start w:val="1"/>
      <w:numFmt w:val="bullet"/>
      <w:lvlText w:val=""/>
      <w:lvlJc w:val="left"/>
      <w:pPr>
        <w:tabs>
          <w:tab w:val="num" w:pos="2160"/>
        </w:tabs>
        <w:ind w:left="2160" w:hanging="360"/>
      </w:pPr>
      <w:rPr>
        <w:rFonts w:ascii="Wingdings" w:hAnsi="Wingdings" w:hint="default"/>
      </w:rPr>
    </w:lvl>
    <w:lvl w:ilvl="3" w:tplc="BBD42C34" w:tentative="1">
      <w:start w:val="1"/>
      <w:numFmt w:val="bullet"/>
      <w:lvlText w:val=""/>
      <w:lvlJc w:val="left"/>
      <w:pPr>
        <w:tabs>
          <w:tab w:val="num" w:pos="2880"/>
        </w:tabs>
        <w:ind w:left="2880" w:hanging="360"/>
      </w:pPr>
      <w:rPr>
        <w:rFonts w:ascii="Wingdings" w:hAnsi="Wingdings" w:hint="default"/>
      </w:rPr>
    </w:lvl>
    <w:lvl w:ilvl="4" w:tplc="35A2DC32" w:tentative="1">
      <w:start w:val="1"/>
      <w:numFmt w:val="bullet"/>
      <w:lvlText w:val=""/>
      <w:lvlJc w:val="left"/>
      <w:pPr>
        <w:tabs>
          <w:tab w:val="num" w:pos="3600"/>
        </w:tabs>
        <w:ind w:left="3600" w:hanging="360"/>
      </w:pPr>
      <w:rPr>
        <w:rFonts w:ascii="Wingdings" w:hAnsi="Wingdings" w:hint="default"/>
      </w:rPr>
    </w:lvl>
    <w:lvl w:ilvl="5" w:tplc="072CA380" w:tentative="1">
      <w:start w:val="1"/>
      <w:numFmt w:val="bullet"/>
      <w:lvlText w:val=""/>
      <w:lvlJc w:val="left"/>
      <w:pPr>
        <w:tabs>
          <w:tab w:val="num" w:pos="4320"/>
        </w:tabs>
        <w:ind w:left="4320" w:hanging="360"/>
      </w:pPr>
      <w:rPr>
        <w:rFonts w:ascii="Wingdings" w:hAnsi="Wingdings" w:hint="default"/>
      </w:rPr>
    </w:lvl>
    <w:lvl w:ilvl="6" w:tplc="D568764E" w:tentative="1">
      <w:start w:val="1"/>
      <w:numFmt w:val="bullet"/>
      <w:lvlText w:val=""/>
      <w:lvlJc w:val="left"/>
      <w:pPr>
        <w:tabs>
          <w:tab w:val="num" w:pos="5040"/>
        </w:tabs>
        <w:ind w:left="5040" w:hanging="360"/>
      </w:pPr>
      <w:rPr>
        <w:rFonts w:ascii="Wingdings" w:hAnsi="Wingdings" w:hint="default"/>
      </w:rPr>
    </w:lvl>
    <w:lvl w:ilvl="7" w:tplc="F9E42322" w:tentative="1">
      <w:start w:val="1"/>
      <w:numFmt w:val="bullet"/>
      <w:lvlText w:val=""/>
      <w:lvlJc w:val="left"/>
      <w:pPr>
        <w:tabs>
          <w:tab w:val="num" w:pos="5760"/>
        </w:tabs>
        <w:ind w:left="5760" w:hanging="360"/>
      </w:pPr>
      <w:rPr>
        <w:rFonts w:ascii="Wingdings" w:hAnsi="Wingdings" w:hint="default"/>
      </w:rPr>
    </w:lvl>
    <w:lvl w:ilvl="8" w:tplc="3E50D00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EE5192"/>
    <w:multiLevelType w:val="hybridMultilevel"/>
    <w:tmpl w:val="1F24FA18"/>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6" w15:restartNumberingAfterBreak="0">
    <w:nsid w:val="173A3160"/>
    <w:multiLevelType w:val="hybridMultilevel"/>
    <w:tmpl w:val="26D2A9D6"/>
    <w:lvl w:ilvl="0" w:tplc="29CA8DDE">
      <w:start w:val="201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A72DE4"/>
    <w:multiLevelType w:val="hybridMultilevel"/>
    <w:tmpl w:val="7A7C540E"/>
    <w:lvl w:ilvl="0" w:tplc="040C000B">
      <w:start w:val="1"/>
      <w:numFmt w:val="bullet"/>
      <w:lvlText w:val=""/>
      <w:lvlJc w:val="left"/>
      <w:pPr>
        <w:ind w:left="890" w:hanging="360"/>
      </w:pPr>
      <w:rPr>
        <w:rFonts w:ascii="Wingdings" w:hAnsi="Wingdings" w:hint="default"/>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8" w15:restartNumberingAfterBreak="0">
    <w:nsid w:val="2A966A9D"/>
    <w:multiLevelType w:val="hybridMultilevel"/>
    <w:tmpl w:val="B5307370"/>
    <w:lvl w:ilvl="0" w:tplc="F6D4BA5A">
      <w:start w:val="1"/>
      <w:numFmt w:val="bullet"/>
      <w:lvlText w:val=""/>
      <w:lvlJc w:val="left"/>
      <w:pPr>
        <w:tabs>
          <w:tab w:val="num" w:pos="720"/>
        </w:tabs>
        <w:ind w:left="720" w:hanging="360"/>
      </w:pPr>
      <w:rPr>
        <w:rFonts w:ascii="Wingdings" w:hAnsi="Wingdings" w:hint="default"/>
      </w:rPr>
    </w:lvl>
    <w:lvl w:ilvl="1" w:tplc="AC943948" w:tentative="1">
      <w:start w:val="1"/>
      <w:numFmt w:val="bullet"/>
      <w:lvlText w:val=""/>
      <w:lvlJc w:val="left"/>
      <w:pPr>
        <w:tabs>
          <w:tab w:val="num" w:pos="1440"/>
        </w:tabs>
        <w:ind w:left="1440" w:hanging="360"/>
      </w:pPr>
      <w:rPr>
        <w:rFonts w:ascii="Wingdings" w:hAnsi="Wingdings" w:hint="default"/>
      </w:rPr>
    </w:lvl>
    <w:lvl w:ilvl="2" w:tplc="C6DEE198" w:tentative="1">
      <w:start w:val="1"/>
      <w:numFmt w:val="bullet"/>
      <w:lvlText w:val=""/>
      <w:lvlJc w:val="left"/>
      <w:pPr>
        <w:tabs>
          <w:tab w:val="num" w:pos="2160"/>
        </w:tabs>
        <w:ind w:left="2160" w:hanging="360"/>
      </w:pPr>
      <w:rPr>
        <w:rFonts w:ascii="Wingdings" w:hAnsi="Wingdings" w:hint="default"/>
      </w:rPr>
    </w:lvl>
    <w:lvl w:ilvl="3" w:tplc="071C0B6E" w:tentative="1">
      <w:start w:val="1"/>
      <w:numFmt w:val="bullet"/>
      <w:lvlText w:val=""/>
      <w:lvlJc w:val="left"/>
      <w:pPr>
        <w:tabs>
          <w:tab w:val="num" w:pos="2880"/>
        </w:tabs>
        <w:ind w:left="2880" w:hanging="360"/>
      </w:pPr>
      <w:rPr>
        <w:rFonts w:ascii="Wingdings" w:hAnsi="Wingdings" w:hint="default"/>
      </w:rPr>
    </w:lvl>
    <w:lvl w:ilvl="4" w:tplc="D8502DC2" w:tentative="1">
      <w:start w:val="1"/>
      <w:numFmt w:val="bullet"/>
      <w:lvlText w:val=""/>
      <w:lvlJc w:val="left"/>
      <w:pPr>
        <w:tabs>
          <w:tab w:val="num" w:pos="3600"/>
        </w:tabs>
        <w:ind w:left="3600" w:hanging="360"/>
      </w:pPr>
      <w:rPr>
        <w:rFonts w:ascii="Wingdings" w:hAnsi="Wingdings" w:hint="default"/>
      </w:rPr>
    </w:lvl>
    <w:lvl w:ilvl="5" w:tplc="D368D31E" w:tentative="1">
      <w:start w:val="1"/>
      <w:numFmt w:val="bullet"/>
      <w:lvlText w:val=""/>
      <w:lvlJc w:val="left"/>
      <w:pPr>
        <w:tabs>
          <w:tab w:val="num" w:pos="4320"/>
        </w:tabs>
        <w:ind w:left="4320" w:hanging="360"/>
      </w:pPr>
      <w:rPr>
        <w:rFonts w:ascii="Wingdings" w:hAnsi="Wingdings" w:hint="default"/>
      </w:rPr>
    </w:lvl>
    <w:lvl w:ilvl="6" w:tplc="AC888F78" w:tentative="1">
      <w:start w:val="1"/>
      <w:numFmt w:val="bullet"/>
      <w:lvlText w:val=""/>
      <w:lvlJc w:val="left"/>
      <w:pPr>
        <w:tabs>
          <w:tab w:val="num" w:pos="5040"/>
        </w:tabs>
        <w:ind w:left="5040" w:hanging="360"/>
      </w:pPr>
      <w:rPr>
        <w:rFonts w:ascii="Wingdings" w:hAnsi="Wingdings" w:hint="default"/>
      </w:rPr>
    </w:lvl>
    <w:lvl w:ilvl="7" w:tplc="7286F778" w:tentative="1">
      <w:start w:val="1"/>
      <w:numFmt w:val="bullet"/>
      <w:lvlText w:val=""/>
      <w:lvlJc w:val="left"/>
      <w:pPr>
        <w:tabs>
          <w:tab w:val="num" w:pos="5760"/>
        </w:tabs>
        <w:ind w:left="5760" w:hanging="360"/>
      </w:pPr>
      <w:rPr>
        <w:rFonts w:ascii="Wingdings" w:hAnsi="Wingdings" w:hint="default"/>
      </w:rPr>
    </w:lvl>
    <w:lvl w:ilvl="8" w:tplc="4C62A73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3A2CAE"/>
    <w:multiLevelType w:val="hybridMultilevel"/>
    <w:tmpl w:val="8A9C1CAA"/>
    <w:lvl w:ilvl="0" w:tplc="2C6C8F52">
      <w:start w:val="1"/>
      <w:numFmt w:val="bullet"/>
      <w:lvlText w:val=""/>
      <w:lvlJc w:val="left"/>
      <w:pPr>
        <w:tabs>
          <w:tab w:val="num" w:pos="720"/>
        </w:tabs>
        <w:ind w:left="720" w:hanging="360"/>
      </w:pPr>
      <w:rPr>
        <w:rFonts w:ascii="Wingdings" w:hAnsi="Wingdings" w:hint="default"/>
      </w:rPr>
    </w:lvl>
    <w:lvl w:ilvl="1" w:tplc="A20A0068" w:tentative="1">
      <w:start w:val="1"/>
      <w:numFmt w:val="bullet"/>
      <w:lvlText w:val=""/>
      <w:lvlJc w:val="left"/>
      <w:pPr>
        <w:tabs>
          <w:tab w:val="num" w:pos="1440"/>
        </w:tabs>
        <w:ind w:left="1440" w:hanging="360"/>
      </w:pPr>
      <w:rPr>
        <w:rFonts w:ascii="Wingdings" w:hAnsi="Wingdings" w:hint="default"/>
      </w:rPr>
    </w:lvl>
    <w:lvl w:ilvl="2" w:tplc="147E8610" w:tentative="1">
      <w:start w:val="1"/>
      <w:numFmt w:val="bullet"/>
      <w:lvlText w:val=""/>
      <w:lvlJc w:val="left"/>
      <w:pPr>
        <w:tabs>
          <w:tab w:val="num" w:pos="2160"/>
        </w:tabs>
        <w:ind w:left="2160" w:hanging="360"/>
      </w:pPr>
      <w:rPr>
        <w:rFonts w:ascii="Wingdings" w:hAnsi="Wingdings" w:hint="default"/>
      </w:rPr>
    </w:lvl>
    <w:lvl w:ilvl="3" w:tplc="AAD4F5D0" w:tentative="1">
      <w:start w:val="1"/>
      <w:numFmt w:val="bullet"/>
      <w:lvlText w:val=""/>
      <w:lvlJc w:val="left"/>
      <w:pPr>
        <w:tabs>
          <w:tab w:val="num" w:pos="2880"/>
        </w:tabs>
        <w:ind w:left="2880" w:hanging="360"/>
      </w:pPr>
      <w:rPr>
        <w:rFonts w:ascii="Wingdings" w:hAnsi="Wingdings" w:hint="default"/>
      </w:rPr>
    </w:lvl>
    <w:lvl w:ilvl="4" w:tplc="E95E83BE" w:tentative="1">
      <w:start w:val="1"/>
      <w:numFmt w:val="bullet"/>
      <w:lvlText w:val=""/>
      <w:lvlJc w:val="left"/>
      <w:pPr>
        <w:tabs>
          <w:tab w:val="num" w:pos="3600"/>
        </w:tabs>
        <w:ind w:left="3600" w:hanging="360"/>
      </w:pPr>
      <w:rPr>
        <w:rFonts w:ascii="Wingdings" w:hAnsi="Wingdings" w:hint="default"/>
      </w:rPr>
    </w:lvl>
    <w:lvl w:ilvl="5" w:tplc="7C52C5DE" w:tentative="1">
      <w:start w:val="1"/>
      <w:numFmt w:val="bullet"/>
      <w:lvlText w:val=""/>
      <w:lvlJc w:val="left"/>
      <w:pPr>
        <w:tabs>
          <w:tab w:val="num" w:pos="4320"/>
        </w:tabs>
        <w:ind w:left="4320" w:hanging="360"/>
      </w:pPr>
      <w:rPr>
        <w:rFonts w:ascii="Wingdings" w:hAnsi="Wingdings" w:hint="default"/>
      </w:rPr>
    </w:lvl>
    <w:lvl w:ilvl="6" w:tplc="5E88F824" w:tentative="1">
      <w:start w:val="1"/>
      <w:numFmt w:val="bullet"/>
      <w:lvlText w:val=""/>
      <w:lvlJc w:val="left"/>
      <w:pPr>
        <w:tabs>
          <w:tab w:val="num" w:pos="5040"/>
        </w:tabs>
        <w:ind w:left="5040" w:hanging="360"/>
      </w:pPr>
      <w:rPr>
        <w:rFonts w:ascii="Wingdings" w:hAnsi="Wingdings" w:hint="default"/>
      </w:rPr>
    </w:lvl>
    <w:lvl w:ilvl="7" w:tplc="1E6216FE" w:tentative="1">
      <w:start w:val="1"/>
      <w:numFmt w:val="bullet"/>
      <w:lvlText w:val=""/>
      <w:lvlJc w:val="left"/>
      <w:pPr>
        <w:tabs>
          <w:tab w:val="num" w:pos="5760"/>
        </w:tabs>
        <w:ind w:left="5760" w:hanging="360"/>
      </w:pPr>
      <w:rPr>
        <w:rFonts w:ascii="Wingdings" w:hAnsi="Wingdings" w:hint="default"/>
      </w:rPr>
    </w:lvl>
    <w:lvl w:ilvl="8" w:tplc="5C4AEB7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B64B0E"/>
    <w:multiLevelType w:val="hybridMultilevel"/>
    <w:tmpl w:val="3B06DCA2"/>
    <w:lvl w:ilvl="0" w:tplc="E0AA8CF2">
      <w:start w:val="1"/>
      <w:numFmt w:val="bullet"/>
      <w:lvlText w:val=""/>
      <w:lvlJc w:val="left"/>
      <w:pPr>
        <w:tabs>
          <w:tab w:val="num" w:pos="720"/>
        </w:tabs>
        <w:ind w:left="720" w:hanging="360"/>
      </w:pPr>
      <w:rPr>
        <w:rFonts w:ascii="Wingdings" w:hAnsi="Wingdings" w:hint="default"/>
      </w:rPr>
    </w:lvl>
    <w:lvl w:ilvl="1" w:tplc="C8E80B4C" w:tentative="1">
      <w:start w:val="1"/>
      <w:numFmt w:val="bullet"/>
      <w:lvlText w:val=""/>
      <w:lvlJc w:val="left"/>
      <w:pPr>
        <w:tabs>
          <w:tab w:val="num" w:pos="1440"/>
        </w:tabs>
        <w:ind w:left="1440" w:hanging="360"/>
      </w:pPr>
      <w:rPr>
        <w:rFonts w:ascii="Wingdings" w:hAnsi="Wingdings" w:hint="default"/>
      </w:rPr>
    </w:lvl>
    <w:lvl w:ilvl="2" w:tplc="C0425D08" w:tentative="1">
      <w:start w:val="1"/>
      <w:numFmt w:val="bullet"/>
      <w:lvlText w:val=""/>
      <w:lvlJc w:val="left"/>
      <w:pPr>
        <w:tabs>
          <w:tab w:val="num" w:pos="2160"/>
        </w:tabs>
        <w:ind w:left="2160" w:hanging="360"/>
      </w:pPr>
      <w:rPr>
        <w:rFonts w:ascii="Wingdings" w:hAnsi="Wingdings" w:hint="default"/>
      </w:rPr>
    </w:lvl>
    <w:lvl w:ilvl="3" w:tplc="8C6EB9CE" w:tentative="1">
      <w:start w:val="1"/>
      <w:numFmt w:val="bullet"/>
      <w:lvlText w:val=""/>
      <w:lvlJc w:val="left"/>
      <w:pPr>
        <w:tabs>
          <w:tab w:val="num" w:pos="2880"/>
        </w:tabs>
        <w:ind w:left="2880" w:hanging="360"/>
      </w:pPr>
      <w:rPr>
        <w:rFonts w:ascii="Wingdings" w:hAnsi="Wingdings" w:hint="default"/>
      </w:rPr>
    </w:lvl>
    <w:lvl w:ilvl="4" w:tplc="A6AE0E82" w:tentative="1">
      <w:start w:val="1"/>
      <w:numFmt w:val="bullet"/>
      <w:lvlText w:val=""/>
      <w:lvlJc w:val="left"/>
      <w:pPr>
        <w:tabs>
          <w:tab w:val="num" w:pos="3600"/>
        </w:tabs>
        <w:ind w:left="3600" w:hanging="360"/>
      </w:pPr>
      <w:rPr>
        <w:rFonts w:ascii="Wingdings" w:hAnsi="Wingdings" w:hint="default"/>
      </w:rPr>
    </w:lvl>
    <w:lvl w:ilvl="5" w:tplc="F880F8F6" w:tentative="1">
      <w:start w:val="1"/>
      <w:numFmt w:val="bullet"/>
      <w:lvlText w:val=""/>
      <w:lvlJc w:val="left"/>
      <w:pPr>
        <w:tabs>
          <w:tab w:val="num" w:pos="4320"/>
        </w:tabs>
        <w:ind w:left="4320" w:hanging="360"/>
      </w:pPr>
      <w:rPr>
        <w:rFonts w:ascii="Wingdings" w:hAnsi="Wingdings" w:hint="default"/>
      </w:rPr>
    </w:lvl>
    <w:lvl w:ilvl="6" w:tplc="83C0C186" w:tentative="1">
      <w:start w:val="1"/>
      <w:numFmt w:val="bullet"/>
      <w:lvlText w:val=""/>
      <w:lvlJc w:val="left"/>
      <w:pPr>
        <w:tabs>
          <w:tab w:val="num" w:pos="5040"/>
        </w:tabs>
        <w:ind w:left="5040" w:hanging="360"/>
      </w:pPr>
      <w:rPr>
        <w:rFonts w:ascii="Wingdings" w:hAnsi="Wingdings" w:hint="default"/>
      </w:rPr>
    </w:lvl>
    <w:lvl w:ilvl="7" w:tplc="CCBE2AAE" w:tentative="1">
      <w:start w:val="1"/>
      <w:numFmt w:val="bullet"/>
      <w:lvlText w:val=""/>
      <w:lvlJc w:val="left"/>
      <w:pPr>
        <w:tabs>
          <w:tab w:val="num" w:pos="5760"/>
        </w:tabs>
        <w:ind w:left="5760" w:hanging="360"/>
      </w:pPr>
      <w:rPr>
        <w:rFonts w:ascii="Wingdings" w:hAnsi="Wingdings" w:hint="default"/>
      </w:rPr>
    </w:lvl>
    <w:lvl w:ilvl="8" w:tplc="DBEC67F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F0346F"/>
    <w:multiLevelType w:val="hybridMultilevel"/>
    <w:tmpl w:val="4B046E72"/>
    <w:lvl w:ilvl="0" w:tplc="8E0276D6">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1D70BFB"/>
    <w:multiLevelType w:val="hybridMultilevel"/>
    <w:tmpl w:val="7DA003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743172D"/>
    <w:multiLevelType w:val="hybridMultilevel"/>
    <w:tmpl w:val="16CE460C"/>
    <w:lvl w:ilvl="0" w:tplc="6D42162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13E6EF8"/>
    <w:multiLevelType w:val="hybridMultilevel"/>
    <w:tmpl w:val="67C8C2A6"/>
    <w:lvl w:ilvl="0" w:tplc="D7989B68">
      <w:numFmt w:val="bullet"/>
      <w:lvlText w:val="-"/>
      <w:lvlJc w:val="left"/>
      <w:pPr>
        <w:ind w:left="1069" w:hanging="360"/>
      </w:pPr>
      <w:rPr>
        <w:rFonts w:ascii="Arial" w:eastAsiaTheme="minorHAnsi" w:hAnsi="Arial" w:cstheme="minorBidi" w:hint="default"/>
      </w:rPr>
    </w:lvl>
    <w:lvl w:ilvl="1" w:tplc="040C0003" w:tentative="1">
      <w:start w:val="1"/>
      <w:numFmt w:val="bullet"/>
      <w:lvlText w:val="o"/>
      <w:lvlJc w:val="left"/>
      <w:pPr>
        <w:ind w:left="1789" w:hanging="360"/>
      </w:pPr>
      <w:rPr>
        <w:rFonts w:ascii="Courier New" w:hAnsi="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5" w15:restartNumberingAfterBreak="0">
    <w:nsid w:val="52AF4133"/>
    <w:multiLevelType w:val="hybridMultilevel"/>
    <w:tmpl w:val="E5AECCE8"/>
    <w:lvl w:ilvl="0" w:tplc="71184362">
      <w:start w:val="1"/>
      <w:numFmt w:val="bullet"/>
      <w:lvlText w:val=""/>
      <w:lvlJc w:val="left"/>
      <w:pPr>
        <w:tabs>
          <w:tab w:val="num" w:pos="720"/>
        </w:tabs>
        <w:ind w:left="720" w:hanging="360"/>
      </w:pPr>
      <w:rPr>
        <w:rFonts w:ascii="Wingdings" w:hAnsi="Wingdings" w:hint="default"/>
      </w:rPr>
    </w:lvl>
    <w:lvl w:ilvl="1" w:tplc="9CB66460" w:tentative="1">
      <w:start w:val="1"/>
      <w:numFmt w:val="bullet"/>
      <w:lvlText w:val=""/>
      <w:lvlJc w:val="left"/>
      <w:pPr>
        <w:tabs>
          <w:tab w:val="num" w:pos="1440"/>
        </w:tabs>
        <w:ind w:left="1440" w:hanging="360"/>
      </w:pPr>
      <w:rPr>
        <w:rFonts w:ascii="Wingdings" w:hAnsi="Wingdings" w:hint="default"/>
      </w:rPr>
    </w:lvl>
    <w:lvl w:ilvl="2" w:tplc="26C0186E" w:tentative="1">
      <w:start w:val="1"/>
      <w:numFmt w:val="bullet"/>
      <w:lvlText w:val=""/>
      <w:lvlJc w:val="left"/>
      <w:pPr>
        <w:tabs>
          <w:tab w:val="num" w:pos="2160"/>
        </w:tabs>
        <w:ind w:left="2160" w:hanging="360"/>
      </w:pPr>
      <w:rPr>
        <w:rFonts w:ascii="Wingdings" w:hAnsi="Wingdings" w:hint="default"/>
      </w:rPr>
    </w:lvl>
    <w:lvl w:ilvl="3" w:tplc="727C80E6" w:tentative="1">
      <w:start w:val="1"/>
      <w:numFmt w:val="bullet"/>
      <w:lvlText w:val=""/>
      <w:lvlJc w:val="left"/>
      <w:pPr>
        <w:tabs>
          <w:tab w:val="num" w:pos="2880"/>
        </w:tabs>
        <w:ind w:left="2880" w:hanging="360"/>
      </w:pPr>
      <w:rPr>
        <w:rFonts w:ascii="Wingdings" w:hAnsi="Wingdings" w:hint="default"/>
      </w:rPr>
    </w:lvl>
    <w:lvl w:ilvl="4" w:tplc="7D1E66DA" w:tentative="1">
      <w:start w:val="1"/>
      <w:numFmt w:val="bullet"/>
      <w:lvlText w:val=""/>
      <w:lvlJc w:val="left"/>
      <w:pPr>
        <w:tabs>
          <w:tab w:val="num" w:pos="3600"/>
        </w:tabs>
        <w:ind w:left="3600" w:hanging="360"/>
      </w:pPr>
      <w:rPr>
        <w:rFonts w:ascii="Wingdings" w:hAnsi="Wingdings" w:hint="default"/>
      </w:rPr>
    </w:lvl>
    <w:lvl w:ilvl="5" w:tplc="58D41638" w:tentative="1">
      <w:start w:val="1"/>
      <w:numFmt w:val="bullet"/>
      <w:lvlText w:val=""/>
      <w:lvlJc w:val="left"/>
      <w:pPr>
        <w:tabs>
          <w:tab w:val="num" w:pos="4320"/>
        </w:tabs>
        <w:ind w:left="4320" w:hanging="360"/>
      </w:pPr>
      <w:rPr>
        <w:rFonts w:ascii="Wingdings" w:hAnsi="Wingdings" w:hint="default"/>
      </w:rPr>
    </w:lvl>
    <w:lvl w:ilvl="6" w:tplc="B1A4653E" w:tentative="1">
      <w:start w:val="1"/>
      <w:numFmt w:val="bullet"/>
      <w:lvlText w:val=""/>
      <w:lvlJc w:val="left"/>
      <w:pPr>
        <w:tabs>
          <w:tab w:val="num" w:pos="5040"/>
        </w:tabs>
        <w:ind w:left="5040" w:hanging="360"/>
      </w:pPr>
      <w:rPr>
        <w:rFonts w:ascii="Wingdings" w:hAnsi="Wingdings" w:hint="default"/>
      </w:rPr>
    </w:lvl>
    <w:lvl w:ilvl="7" w:tplc="58CCF990" w:tentative="1">
      <w:start w:val="1"/>
      <w:numFmt w:val="bullet"/>
      <w:lvlText w:val=""/>
      <w:lvlJc w:val="left"/>
      <w:pPr>
        <w:tabs>
          <w:tab w:val="num" w:pos="5760"/>
        </w:tabs>
        <w:ind w:left="5760" w:hanging="360"/>
      </w:pPr>
      <w:rPr>
        <w:rFonts w:ascii="Wingdings" w:hAnsi="Wingdings" w:hint="default"/>
      </w:rPr>
    </w:lvl>
    <w:lvl w:ilvl="8" w:tplc="D3A27A0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430017"/>
    <w:multiLevelType w:val="hybridMultilevel"/>
    <w:tmpl w:val="C2B2B6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A0E6F32"/>
    <w:multiLevelType w:val="hybridMultilevel"/>
    <w:tmpl w:val="40BE478C"/>
    <w:lvl w:ilvl="0" w:tplc="5C907984">
      <w:start w:val="1"/>
      <w:numFmt w:val="bullet"/>
      <w:lvlText w:val=""/>
      <w:lvlJc w:val="left"/>
      <w:pPr>
        <w:tabs>
          <w:tab w:val="num" w:pos="720"/>
        </w:tabs>
        <w:ind w:left="720" w:hanging="360"/>
      </w:pPr>
      <w:rPr>
        <w:rFonts w:ascii="Wingdings" w:hAnsi="Wingdings" w:hint="default"/>
      </w:rPr>
    </w:lvl>
    <w:lvl w:ilvl="1" w:tplc="4350E8CC" w:tentative="1">
      <w:start w:val="1"/>
      <w:numFmt w:val="bullet"/>
      <w:lvlText w:val=""/>
      <w:lvlJc w:val="left"/>
      <w:pPr>
        <w:tabs>
          <w:tab w:val="num" w:pos="1440"/>
        </w:tabs>
        <w:ind w:left="1440" w:hanging="360"/>
      </w:pPr>
      <w:rPr>
        <w:rFonts w:ascii="Wingdings" w:hAnsi="Wingdings" w:hint="default"/>
      </w:rPr>
    </w:lvl>
    <w:lvl w:ilvl="2" w:tplc="59CA0836" w:tentative="1">
      <w:start w:val="1"/>
      <w:numFmt w:val="bullet"/>
      <w:lvlText w:val=""/>
      <w:lvlJc w:val="left"/>
      <w:pPr>
        <w:tabs>
          <w:tab w:val="num" w:pos="2160"/>
        </w:tabs>
        <w:ind w:left="2160" w:hanging="360"/>
      </w:pPr>
      <w:rPr>
        <w:rFonts w:ascii="Wingdings" w:hAnsi="Wingdings" w:hint="default"/>
      </w:rPr>
    </w:lvl>
    <w:lvl w:ilvl="3" w:tplc="4D86948A" w:tentative="1">
      <w:start w:val="1"/>
      <w:numFmt w:val="bullet"/>
      <w:lvlText w:val=""/>
      <w:lvlJc w:val="left"/>
      <w:pPr>
        <w:tabs>
          <w:tab w:val="num" w:pos="2880"/>
        </w:tabs>
        <w:ind w:left="2880" w:hanging="360"/>
      </w:pPr>
      <w:rPr>
        <w:rFonts w:ascii="Wingdings" w:hAnsi="Wingdings" w:hint="default"/>
      </w:rPr>
    </w:lvl>
    <w:lvl w:ilvl="4" w:tplc="E6A04BD2" w:tentative="1">
      <w:start w:val="1"/>
      <w:numFmt w:val="bullet"/>
      <w:lvlText w:val=""/>
      <w:lvlJc w:val="left"/>
      <w:pPr>
        <w:tabs>
          <w:tab w:val="num" w:pos="3600"/>
        </w:tabs>
        <w:ind w:left="3600" w:hanging="360"/>
      </w:pPr>
      <w:rPr>
        <w:rFonts w:ascii="Wingdings" w:hAnsi="Wingdings" w:hint="default"/>
      </w:rPr>
    </w:lvl>
    <w:lvl w:ilvl="5" w:tplc="140ED0E0" w:tentative="1">
      <w:start w:val="1"/>
      <w:numFmt w:val="bullet"/>
      <w:lvlText w:val=""/>
      <w:lvlJc w:val="left"/>
      <w:pPr>
        <w:tabs>
          <w:tab w:val="num" w:pos="4320"/>
        </w:tabs>
        <w:ind w:left="4320" w:hanging="360"/>
      </w:pPr>
      <w:rPr>
        <w:rFonts w:ascii="Wingdings" w:hAnsi="Wingdings" w:hint="default"/>
      </w:rPr>
    </w:lvl>
    <w:lvl w:ilvl="6" w:tplc="DF9610F4" w:tentative="1">
      <w:start w:val="1"/>
      <w:numFmt w:val="bullet"/>
      <w:lvlText w:val=""/>
      <w:lvlJc w:val="left"/>
      <w:pPr>
        <w:tabs>
          <w:tab w:val="num" w:pos="5040"/>
        </w:tabs>
        <w:ind w:left="5040" w:hanging="360"/>
      </w:pPr>
      <w:rPr>
        <w:rFonts w:ascii="Wingdings" w:hAnsi="Wingdings" w:hint="default"/>
      </w:rPr>
    </w:lvl>
    <w:lvl w:ilvl="7" w:tplc="BAF84120" w:tentative="1">
      <w:start w:val="1"/>
      <w:numFmt w:val="bullet"/>
      <w:lvlText w:val=""/>
      <w:lvlJc w:val="left"/>
      <w:pPr>
        <w:tabs>
          <w:tab w:val="num" w:pos="5760"/>
        </w:tabs>
        <w:ind w:left="5760" w:hanging="360"/>
      </w:pPr>
      <w:rPr>
        <w:rFonts w:ascii="Wingdings" w:hAnsi="Wingdings" w:hint="default"/>
      </w:rPr>
    </w:lvl>
    <w:lvl w:ilvl="8" w:tplc="BD2E02E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FB356D"/>
    <w:multiLevelType w:val="hybridMultilevel"/>
    <w:tmpl w:val="2F483A66"/>
    <w:lvl w:ilvl="0" w:tplc="2EF27ADE">
      <w:numFmt w:val="bullet"/>
      <w:lvlText w:val="-"/>
      <w:lvlJc w:val="left"/>
      <w:pPr>
        <w:ind w:left="720" w:hanging="360"/>
      </w:pPr>
      <w:rPr>
        <w:rFonts w:ascii="Verdana" w:eastAsiaTheme="minorEastAsia"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D0C4241"/>
    <w:multiLevelType w:val="hybridMultilevel"/>
    <w:tmpl w:val="E320D65C"/>
    <w:lvl w:ilvl="0" w:tplc="33B0360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04B482C"/>
    <w:multiLevelType w:val="hybridMultilevel"/>
    <w:tmpl w:val="F184E1F2"/>
    <w:lvl w:ilvl="0" w:tplc="58B0D0E2">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2502BF7"/>
    <w:multiLevelType w:val="hybridMultilevel"/>
    <w:tmpl w:val="BDFCFEB2"/>
    <w:lvl w:ilvl="0" w:tplc="90E074FE">
      <w:start w:val="1"/>
      <w:numFmt w:val="bullet"/>
      <w:lvlText w:val=""/>
      <w:lvlJc w:val="left"/>
      <w:pPr>
        <w:ind w:left="720" w:hanging="360"/>
      </w:pPr>
      <w:rPr>
        <w:rFonts w:ascii="Symbol" w:hAnsi="Symbol" w:hint="default"/>
        <w:lang w:val="fr-FR"/>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73A1433A"/>
    <w:multiLevelType w:val="hybridMultilevel"/>
    <w:tmpl w:val="B8B20BC6"/>
    <w:lvl w:ilvl="0" w:tplc="2A9C1154">
      <w:start w:val="1"/>
      <w:numFmt w:val="bullet"/>
      <w:lvlText w:val=""/>
      <w:lvlJc w:val="left"/>
      <w:pPr>
        <w:tabs>
          <w:tab w:val="num" w:pos="720"/>
        </w:tabs>
        <w:ind w:left="720" w:hanging="360"/>
      </w:pPr>
      <w:rPr>
        <w:rFonts w:ascii="Wingdings" w:hAnsi="Wingdings" w:hint="default"/>
      </w:rPr>
    </w:lvl>
    <w:lvl w:ilvl="1" w:tplc="2CC4ACB2" w:tentative="1">
      <w:start w:val="1"/>
      <w:numFmt w:val="bullet"/>
      <w:lvlText w:val=""/>
      <w:lvlJc w:val="left"/>
      <w:pPr>
        <w:tabs>
          <w:tab w:val="num" w:pos="1440"/>
        </w:tabs>
        <w:ind w:left="1440" w:hanging="360"/>
      </w:pPr>
      <w:rPr>
        <w:rFonts w:ascii="Wingdings" w:hAnsi="Wingdings" w:hint="default"/>
      </w:rPr>
    </w:lvl>
    <w:lvl w:ilvl="2" w:tplc="CA92C3CA" w:tentative="1">
      <w:start w:val="1"/>
      <w:numFmt w:val="bullet"/>
      <w:lvlText w:val=""/>
      <w:lvlJc w:val="left"/>
      <w:pPr>
        <w:tabs>
          <w:tab w:val="num" w:pos="2160"/>
        </w:tabs>
        <w:ind w:left="2160" w:hanging="360"/>
      </w:pPr>
      <w:rPr>
        <w:rFonts w:ascii="Wingdings" w:hAnsi="Wingdings" w:hint="default"/>
      </w:rPr>
    </w:lvl>
    <w:lvl w:ilvl="3" w:tplc="AC8E729E" w:tentative="1">
      <w:start w:val="1"/>
      <w:numFmt w:val="bullet"/>
      <w:lvlText w:val=""/>
      <w:lvlJc w:val="left"/>
      <w:pPr>
        <w:tabs>
          <w:tab w:val="num" w:pos="2880"/>
        </w:tabs>
        <w:ind w:left="2880" w:hanging="360"/>
      </w:pPr>
      <w:rPr>
        <w:rFonts w:ascii="Wingdings" w:hAnsi="Wingdings" w:hint="default"/>
      </w:rPr>
    </w:lvl>
    <w:lvl w:ilvl="4" w:tplc="91F60E6E" w:tentative="1">
      <w:start w:val="1"/>
      <w:numFmt w:val="bullet"/>
      <w:lvlText w:val=""/>
      <w:lvlJc w:val="left"/>
      <w:pPr>
        <w:tabs>
          <w:tab w:val="num" w:pos="3600"/>
        </w:tabs>
        <w:ind w:left="3600" w:hanging="360"/>
      </w:pPr>
      <w:rPr>
        <w:rFonts w:ascii="Wingdings" w:hAnsi="Wingdings" w:hint="default"/>
      </w:rPr>
    </w:lvl>
    <w:lvl w:ilvl="5" w:tplc="FEB02CB8" w:tentative="1">
      <w:start w:val="1"/>
      <w:numFmt w:val="bullet"/>
      <w:lvlText w:val=""/>
      <w:lvlJc w:val="left"/>
      <w:pPr>
        <w:tabs>
          <w:tab w:val="num" w:pos="4320"/>
        </w:tabs>
        <w:ind w:left="4320" w:hanging="360"/>
      </w:pPr>
      <w:rPr>
        <w:rFonts w:ascii="Wingdings" w:hAnsi="Wingdings" w:hint="default"/>
      </w:rPr>
    </w:lvl>
    <w:lvl w:ilvl="6" w:tplc="1C4CE5DC" w:tentative="1">
      <w:start w:val="1"/>
      <w:numFmt w:val="bullet"/>
      <w:lvlText w:val=""/>
      <w:lvlJc w:val="left"/>
      <w:pPr>
        <w:tabs>
          <w:tab w:val="num" w:pos="5040"/>
        </w:tabs>
        <w:ind w:left="5040" w:hanging="360"/>
      </w:pPr>
      <w:rPr>
        <w:rFonts w:ascii="Wingdings" w:hAnsi="Wingdings" w:hint="default"/>
      </w:rPr>
    </w:lvl>
    <w:lvl w:ilvl="7" w:tplc="E808F8BC" w:tentative="1">
      <w:start w:val="1"/>
      <w:numFmt w:val="bullet"/>
      <w:lvlText w:val=""/>
      <w:lvlJc w:val="left"/>
      <w:pPr>
        <w:tabs>
          <w:tab w:val="num" w:pos="5760"/>
        </w:tabs>
        <w:ind w:left="5760" w:hanging="360"/>
      </w:pPr>
      <w:rPr>
        <w:rFonts w:ascii="Wingdings" w:hAnsi="Wingdings" w:hint="default"/>
      </w:rPr>
    </w:lvl>
    <w:lvl w:ilvl="8" w:tplc="D7F6ACB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19"/>
  </w:num>
  <w:num w:numId="4">
    <w:abstractNumId w:val="4"/>
  </w:num>
  <w:num w:numId="5">
    <w:abstractNumId w:val="17"/>
  </w:num>
  <w:num w:numId="6">
    <w:abstractNumId w:val="3"/>
  </w:num>
  <w:num w:numId="7">
    <w:abstractNumId w:val="10"/>
  </w:num>
  <w:num w:numId="8">
    <w:abstractNumId w:val="15"/>
  </w:num>
  <w:num w:numId="9">
    <w:abstractNumId w:val="13"/>
  </w:num>
  <w:num w:numId="10">
    <w:abstractNumId w:val="22"/>
  </w:num>
  <w:num w:numId="11">
    <w:abstractNumId w:val="9"/>
  </w:num>
  <w:num w:numId="12">
    <w:abstractNumId w:val="7"/>
  </w:num>
  <w:num w:numId="13">
    <w:abstractNumId w:val="16"/>
  </w:num>
  <w:num w:numId="14">
    <w:abstractNumId w:val="8"/>
  </w:num>
  <w:num w:numId="15">
    <w:abstractNumId w:val="12"/>
  </w:num>
  <w:num w:numId="16">
    <w:abstractNumId w:val="5"/>
  </w:num>
  <w:num w:numId="17">
    <w:abstractNumId w:val="21"/>
  </w:num>
  <w:num w:numId="18">
    <w:abstractNumId w:val="11"/>
  </w:num>
  <w:num w:numId="19">
    <w:abstractNumId w:val="20"/>
  </w:num>
  <w:num w:numId="20">
    <w:abstractNumId w:val="14"/>
  </w:num>
  <w:num w:numId="21">
    <w:abstractNumId w:val="6"/>
  </w:num>
  <w:num w:numId="22">
    <w:abstractNumId w:val="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374"/>
    <w:rsid w:val="00002258"/>
    <w:rsid w:val="00002DD6"/>
    <w:rsid w:val="00004217"/>
    <w:rsid w:val="00006695"/>
    <w:rsid w:val="0001005E"/>
    <w:rsid w:val="000153F1"/>
    <w:rsid w:val="00015EBE"/>
    <w:rsid w:val="00017B41"/>
    <w:rsid w:val="00030315"/>
    <w:rsid w:val="000314B9"/>
    <w:rsid w:val="00031FBB"/>
    <w:rsid w:val="00035FB1"/>
    <w:rsid w:val="0003642A"/>
    <w:rsid w:val="00037BE4"/>
    <w:rsid w:val="00040317"/>
    <w:rsid w:val="00043886"/>
    <w:rsid w:val="00046C63"/>
    <w:rsid w:val="00047A1C"/>
    <w:rsid w:val="00050BD3"/>
    <w:rsid w:val="00051B60"/>
    <w:rsid w:val="00054B00"/>
    <w:rsid w:val="000557ED"/>
    <w:rsid w:val="00060453"/>
    <w:rsid w:val="000639F4"/>
    <w:rsid w:val="00066C21"/>
    <w:rsid w:val="00067E32"/>
    <w:rsid w:val="000719F8"/>
    <w:rsid w:val="00076ABD"/>
    <w:rsid w:val="000805FC"/>
    <w:rsid w:val="000815EA"/>
    <w:rsid w:val="00083B03"/>
    <w:rsid w:val="000865F7"/>
    <w:rsid w:val="00087351"/>
    <w:rsid w:val="00092EA2"/>
    <w:rsid w:val="00094096"/>
    <w:rsid w:val="0009640D"/>
    <w:rsid w:val="0009684F"/>
    <w:rsid w:val="000971EF"/>
    <w:rsid w:val="000976C8"/>
    <w:rsid w:val="00097F69"/>
    <w:rsid w:val="000A009E"/>
    <w:rsid w:val="000A11EF"/>
    <w:rsid w:val="000A2998"/>
    <w:rsid w:val="000A2ADF"/>
    <w:rsid w:val="000A2BDF"/>
    <w:rsid w:val="000A74D1"/>
    <w:rsid w:val="000B0F26"/>
    <w:rsid w:val="000B291E"/>
    <w:rsid w:val="000B5BA9"/>
    <w:rsid w:val="000B6035"/>
    <w:rsid w:val="000C07E9"/>
    <w:rsid w:val="000C2926"/>
    <w:rsid w:val="000C378A"/>
    <w:rsid w:val="000C5D1B"/>
    <w:rsid w:val="000C779F"/>
    <w:rsid w:val="000D00F2"/>
    <w:rsid w:val="000D108F"/>
    <w:rsid w:val="000D121E"/>
    <w:rsid w:val="000D4C27"/>
    <w:rsid w:val="000E18C4"/>
    <w:rsid w:val="000E374D"/>
    <w:rsid w:val="000E60AC"/>
    <w:rsid w:val="000E7A83"/>
    <w:rsid w:val="000E7C6E"/>
    <w:rsid w:val="000F19C2"/>
    <w:rsid w:val="000F1DB1"/>
    <w:rsid w:val="000F2BF4"/>
    <w:rsid w:val="000F351D"/>
    <w:rsid w:val="000F3747"/>
    <w:rsid w:val="000F7265"/>
    <w:rsid w:val="001007FE"/>
    <w:rsid w:val="00103B98"/>
    <w:rsid w:val="001110D0"/>
    <w:rsid w:val="00111D86"/>
    <w:rsid w:val="00114A59"/>
    <w:rsid w:val="00115CF5"/>
    <w:rsid w:val="00117A18"/>
    <w:rsid w:val="00121B31"/>
    <w:rsid w:val="001264B6"/>
    <w:rsid w:val="00126584"/>
    <w:rsid w:val="00137721"/>
    <w:rsid w:val="00140896"/>
    <w:rsid w:val="001465DE"/>
    <w:rsid w:val="00155903"/>
    <w:rsid w:val="001566CA"/>
    <w:rsid w:val="001601E0"/>
    <w:rsid w:val="0016562B"/>
    <w:rsid w:val="00165C19"/>
    <w:rsid w:val="00166396"/>
    <w:rsid w:val="00166825"/>
    <w:rsid w:val="00171CBA"/>
    <w:rsid w:val="00173078"/>
    <w:rsid w:val="001758F4"/>
    <w:rsid w:val="00177073"/>
    <w:rsid w:val="0017743C"/>
    <w:rsid w:val="00180D73"/>
    <w:rsid w:val="001811F2"/>
    <w:rsid w:val="001828A2"/>
    <w:rsid w:val="0018304D"/>
    <w:rsid w:val="0018404D"/>
    <w:rsid w:val="0018553B"/>
    <w:rsid w:val="0018600F"/>
    <w:rsid w:val="0019010A"/>
    <w:rsid w:val="001A2E07"/>
    <w:rsid w:val="001A64A8"/>
    <w:rsid w:val="001A6F6E"/>
    <w:rsid w:val="001B4627"/>
    <w:rsid w:val="001B490B"/>
    <w:rsid w:val="001B5294"/>
    <w:rsid w:val="001B58EB"/>
    <w:rsid w:val="001C05E0"/>
    <w:rsid w:val="001C0F48"/>
    <w:rsid w:val="001C18C2"/>
    <w:rsid w:val="001C2E62"/>
    <w:rsid w:val="001C3327"/>
    <w:rsid w:val="001C36D9"/>
    <w:rsid w:val="001D3547"/>
    <w:rsid w:val="001D497E"/>
    <w:rsid w:val="001D4E2E"/>
    <w:rsid w:val="001D6AA0"/>
    <w:rsid w:val="001E2273"/>
    <w:rsid w:val="001E4B90"/>
    <w:rsid w:val="001E5C10"/>
    <w:rsid w:val="001F41E3"/>
    <w:rsid w:val="001F42FE"/>
    <w:rsid w:val="001F7748"/>
    <w:rsid w:val="002028C7"/>
    <w:rsid w:val="00203FCE"/>
    <w:rsid w:val="00204153"/>
    <w:rsid w:val="00204716"/>
    <w:rsid w:val="002058CF"/>
    <w:rsid w:val="00205C72"/>
    <w:rsid w:val="00206004"/>
    <w:rsid w:val="00215E9C"/>
    <w:rsid w:val="002234DB"/>
    <w:rsid w:val="002341B8"/>
    <w:rsid w:val="00235246"/>
    <w:rsid w:val="00236FA3"/>
    <w:rsid w:val="00237564"/>
    <w:rsid w:val="00240580"/>
    <w:rsid w:val="00246DBF"/>
    <w:rsid w:val="00247673"/>
    <w:rsid w:val="00252AC7"/>
    <w:rsid w:val="00256782"/>
    <w:rsid w:val="002718FE"/>
    <w:rsid w:val="00272EA5"/>
    <w:rsid w:val="00280790"/>
    <w:rsid w:val="0028098F"/>
    <w:rsid w:val="00285928"/>
    <w:rsid w:val="00286090"/>
    <w:rsid w:val="00286649"/>
    <w:rsid w:val="00286E3F"/>
    <w:rsid w:val="00291BC1"/>
    <w:rsid w:val="00296F27"/>
    <w:rsid w:val="002A1605"/>
    <w:rsid w:val="002A40F9"/>
    <w:rsid w:val="002B298D"/>
    <w:rsid w:val="002B449B"/>
    <w:rsid w:val="002B69D9"/>
    <w:rsid w:val="002C0EDD"/>
    <w:rsid w:val="002C182F"/>
    <w:rsid w:val="002C3EB3"/>
    <w:rsid w:val="002C7129"/>
    <w:rsid w:val="002D112C"/>
    <w:rsid w:val="002D61FA"/>
    <w:rsid w:val="002E0DD3"/>
    <w:rsid w:val="002E345B"/>
    <w:rsid w:val="002E5307"/>
    <w:rsid w:val="002E5D53"/>
    <w:rsid w:val="002F157D"/>
    <w:rsid w:val="002F399F"/>
    <w:rsid w:val="002F3A88"/>
    <w:rsid w:val="002F4447"/>
    <w:rsid w:val="002F5518"/>
    <w:rsid w:val="003045E2"/>
    <w:rsid w:val="00304EBB"/>
    <w:rsid w:val="0030627D"/>
    <w:rsid w:val="00307056"/>
    <w:rsid w:val="003146AB"/>
    <w:rsid w:val="003167E6"/>
    <w:rsid w:val="00316C7E"/>
    <w:rsid w:val="00316FF8"/>
    <w:rsid w:val="00317C73"/>
    <w:rsid w:val="0032013F"/>
    <w:rsid w:val="00320D9C"/>
    <w:rsid w:val="00322145"/>
    <w:rsid w:val="00323E1A"/>
    <w:rsid w:val="003250FF"/>
    <w:rsid w:val="003272FF"/>
    <w:rsid w:val="0032780E"/>
    <w:rsid w:val="00327ACC"/>
    <w:rsid w:val="00335F0B"/>
    <w:rsid w:val="003406F7"/>
    <w:rsid w:val="00340735"/>
    <w:rsid w:val="0034116C"/>
    <w:rsid w:val="00341B68"/>
    <w:rsid w:val="00342A30"/>
    <w:rsid w:val="00345B4A"/>
    <w:rsid w:val="00345F3C"/>
    <w:rsid w:val="0035066E"/>
    <w:rsid w:val="003521E9"/>
    <w:rsid w:val="00352344"/>
    <w:rsid w:val="0035396B"/>
    <w:rsid w:val="00353E60"/>
    <w:rsid w:val="0035573E"/>
    <w:rsid w:val="00357EF4"/>
    <w:rsid w:val="003605F3"/>
    <w:rsid w:val="00360F81"/>
    <w:rsid w:val="00361E9E"/>
    <w:rsid w:val="00362B65"/>
    <w:rsid w:val="00363CAB"/>
    <w:rsid w:val="00370985"/>
    <w:rsid w:val="00372E79"/>
    <w:rsid w:val="00373AE5"/>
    <w:rsid w:val="003759DC"/>
    <w:rsid w:val="00381627"/>
    <w:rsid w:val="00394D93"/>
    <w:rsid w:val="00396EAA"/>
    <w:rsid w:val="00397596"/>
    <w:rsid w:val="003A0475"/>
    <w:rsid w:val="003A0DA1"/>
    <w:rsid w:val="003A1707"/>
    <w:rsid w:val="003A1CDB"/>
    <w:rsid w:val="003A2F6B"/>
    <w:rsid w:val="003A33FF"/>
    <w:rsid w:val="003A382E"/>
    <w:rsid w:val="003A4584"/>
    <w:rsid w:val="003A643A"/>
    <w:rsid w:val="003A72CD"/>
    <w:rsid w:val="003A7599"/>
    <w:rsid w:val="003B0F4F"/>
    <w:rsid w:val="003B365A"/>
    <w:rsid w:val="003B46D2"/>
    <w:rsid w:val="003B750C"/>
    <w:rsid w:val="003C07DB"/>
    <w:rsid w:val="003C47FF"/>
    <w:rsid w:val="003C4999"/>
    <w:rsid w:val="003D2E0E"/>
    <w:rsid w:val="003F0BF2"/>
    <w:rsid w:val="003F2D34"/>
    <w:rsid w:val="003F4116"/>
    <w:rsid w:val="003F5457"/>
    <w:rsid w:val="003F7036"/>
    <w:rsid w:val="003F70C4"/>
    <w:rsid w:val="003F7961"/>
    <w:rsid w:val="00401DC4"/>
    <w:rsid w:val="0040455D"/>
    <w:rsid w:val="004074AA"/>
    <w:rsid w:val="0040777A"/>
    <w:rsid w:val="00407DA5"/>
    <w:rsid w:val="00411227"/>
    <w:rsid w:val="00412EB2"/>
    <w:rsid w:val="00413FD4"/>
    <w:rsid w:val="004154DE"/>
    <w:rsid w:val="00415F7E"/>
    <w:rsid w:val="0041666A"/>
    <w:rsid w:val="00421A37"/>
    <w:rsid w:val="0042271A"/>
    <w:rsid w:val="00422D71"/>
    <w:rsid w:val="00423284"/>
    <w:rsid w:val="00423724"/>
    <w:rsid w:val="00424FB4"/>
    <w:rsid w:val="00426E1A"/>
    <w:rsid w:val="004309F4"/>
    <w:rsid w:val="00433BAE"/>
    <w:rsid w:val="00435018"/>
    <w:rsid w:val="0043708C"/>
    <w:rsid w:val="00440374"/>
    <w:rsid w:val="00442606"/>
    <w:rsid w:val="0044538B"/>
    <w:rsid w:val="00452051"/>
    <w:rsid w:val="00453129"/>
    <w:rsid w:val="004579F3"/>
    <w:rsid w:val="004651E5"/>
    <w:rsid w:val="00466B67"/>
    <w:rsid w:val="004677F1"/>
    <w:rsid w:val="004708A1"/>
    <w:rsid w:val="00480002"/>
    <w:rsid w:val="00486994"/>
    <w:rsid w:val="00487C9B"/>
    <w:rsid w:val="00495AD4"/>
    <w:rsid w:val="0049604C"/>
    <w:rsid w:val="0049606D"/>
    <w:rsid w:val="00497216"/>
    <w:rsid w:val="00497BC9"/>
    <w:rsid w:val="004A254A"/>
    <w:rsid w:val="004A282A"/>
    <w:rsid w:val="004A51B0"/>
    <w:rsid w:val="004A6AD9"/>
    <w:rsid w:val="004A74A7"/>
    <w:rsid w:val="004B14C0"/>
    <w:rsid w:val="004B620C"/>
    <w:rsid w:val="004C47ED"/>
    <w:rsid w:val="004C679D"/>
    <w:rsid w:val="004D0605"/>
    <w:rsid w:val="004D0977"/>
    <w:rsid w:val="004D0AA8"/>
    <w:rsid w:val="004D6C5F"/>
    <w:rsid w:val="004E0C9A"/>
    <w:rsid w:val="004E1E18"/>
    <w:rsid w:val="004E373B"/>
    <w:rsid w:val="004E4487"/>
    <w:rsid w:val="004E5B09"/>
    <w:rsid w:val="004E714F"/>
    <w:rsid w:val="004E7242"/>
    <w:rsid w:val="004E7C16"/>
    <w:rsid w:val="005005EF"/>
    <w:rsid w:val="00503A03"/>
    <w:rsid w:val="005064A2"/>
    <w:rsid w:val="00507F03"/>
    <w:rsid w:val="00515104"/>
    <w:rsid w:val="00515808"/>
    <w:rsid w:val="005218A7"/>
    <w:rsid w:val="00522BD6"/>
    <w:rsid w:val="0052448D"/>
    <w:rsid w:val="00524BB6"/>
    <w:rsid w:val="00524D80"/>
    <w:rsid w:val="00525036"/>
    <w:rsid w:val="00526354"/>
    <w:rsid w:val="0052650B"/>
    <w:rsid w:val="005270E4"/>
    <w:rsid w:val="00532745"/>
    <w:rsid w:val="00533895"/>
    <w:rsid w:val="00535CDE"/>
    <w:rsid w:val="00541019"/>
    <w:rsid w:val="00541889"/>
    <w:rsid w:val="00542429"/>
    <w:rsid w:val="00543868"/>
    <w:rsid w:val="00551036"/>
    <w:rsid w:val="005523F4"/>
    <w:rsid w:val="00556A2E"/>
    <w:rsid w:val="00563C1B"/>
    <w:rsid w:val="00571BAA"/>
    <w:rsid w:val="00572340"/>
    <w:rsid w:val="005723EF"/>
    <w:rsid w:val="00572D1C"/>
    <w:rsid w:val="00577354"/>
    <w:rsid w:val="005777FA"/>
    <w:rsid w:val="005847C8"/>
    <w:rsid w:val="00586025"/>
    <w:rsid w:val="00586542"/>
    <w:rsid w:val="00590892"/>
    <w:rsid w:val="005915E2"/>
    <w:rsid w:val="00593C56"/>
    <w:rsid w:val="005943ED"/>
    <w:rsid w:val="005969CB"/>
    <w:rsid w:val="00597787"/>
    <w:rsid w:val="005A1C29"/>
    <w:rsid w:val="005A3ADA"/>
    <w:rsid w:val="005B7C60"/>
    <w:rsid w:val="005C3D7B"/>
    <w:rsid w:val="005C4604"/>
    <w:rsid w:val="005C5FB9"/>
    <w:rsid w:val="005D3873"/>
    <w:rsid w:val="005D5858"/>
    <w:rsid w:val="005D72EA"/>
    <w:rsid w:val="005E3606"/>
    <w:rsid w:val="005E4CE5"/>
    <w:rsid w:val="005F10E8"/>
    <w:rsid w:val="005F33E7"/>
    <w:rsid w:val="005F4445"/>
    <w:rsid w:val="005F505F"/>
    <w:rsid w:val="005F5424"/>
    <w:rsid w:val="005F6F4F"/>
    <w:rsid w:val="0060050D"/>
    <w:rsid w:val="00601FBF"/>
    <w:rsid w:val="00603933"/>
    <w:rsid w:val="00613316"/>
    <w:rsid w:val="00615757"/>
    <w:rsid w:val="00616C68"/>
    <w:rsid w:val="00624FAB"/>
    <w:rsid w:val="00630FCD"/>
    <w:rsid w:val="0063240C"/>
    <w:rsid w:val="00643304"/>
    <w:rsid w:val="006441A7"/>
    <w:rsid w:val="006464AD"/>
    <w:rsid w:val="006508F6"/>
    <w:rsid w:val="00654D8B"/>
    <w:rsid w:val="0065517C"/>
    <w:rsid w:val="00657085"/>
    <w:rsid w:val="00660AAF"/>
    <w:rsid w:val="00663229"/>
    <w:rsid w:val="006662A6"/>
    <w:rsid w:val="00666B9F"/>
    <w:rsid w:val="00667218"/>
    <w:rsid w:val="006711F4"/>
    <w:rsid w:val="0067275F"/>
    <w:rsid w:val="00673CE3"/>
    <w:rsid w:val="00686BC5"/>
    <w:rsid w:val="00690953"/>
    <w:rsid w:val="006A1C35"/>
    <w:rsid w:val="006B016E"/>
    <w:rsid w:val="006B644C"/>
    <w:rsid w:val="006C00C9"/>
    <w:rsid w:val="006C13AE"/>
    <w:rsid w:val="006C1BDC"/>
    <w:rsid w:val="006C234C"/>
    <w:rsid w:val="006C66A1"/>
    <w:rsid w:val="006C79D5"/>
    <w:rsid w:val="006D003A"/>
    <w:rsid w:val="006D2F4D"/>
    <w:rsid w:val="006D3ED2"/>
    <w:rsid w:val="006E03E2"/>
    <w:rsid w:val="006E2004"/>
    <w:rsid w:val="006E636A"/>
    <w:rsid w:val="006E6721"/>
    <w:rsid w:val="006E67E0"/>
    <w:rsid w:val="006E7C40"/>
    <w:rsid w:val="006F047D"/>
    <w:rsid w:val="006F1C6B"/>
    <w:rsid w:val="006F3132"/>
    <w:rsid w:val="00701E85"/>
    <w:rsid w:val="007026F5"/>
    <w:rsid w:val="007027E7"/>
    <w:rsid w:val="00705DE8"/>
    <w:rsid w:val="007111EA"/>
    <w:rsid w:val="00711F76"/>
    <w:rsid w:val="00716C42"/>
    <w:rsid w:val="0072227A"/>
    <w:rsid w:val="0072460A"/>
    <w:rsid w:val="00736068"/>
    <w:rsid w:val="00737EA3"/>
    <w:rsid w:val="007403AE"/>
    <w:rsid w:val="00741236"/>
    <w:rsid w:val="00751C6E"/>
    <w:rsid w:val="00757206"/>
    <w:rsid w:val="00762036"/>
    <w:rsid w:val="00763E53"/>
    <w:rsid w:val="00765B98"/>
    <w:rsid w:val="00765C7F"/>
    <w:rsid w:val="00766645"/>
    <w:rsid w:val="00770A14"/>
    <w:rsid w:val="0077127A"/>
    <w:rsid w:val="007729D3"/>
    <w:rsid w:val="007740A5"/>
    <w:rsid w:val="00774F4A"/>
    <w:rsid w:val="00775684"/>
    <w:rsid w:val="00776C04"/>
    <w:rsid w:val="007809A3"/>
    <w:rsid w:val="00781E1F"/>
    <w:rsid w:val="00784D3C"/>
    <w:rsid w:val="00785E6A"/>
    <w:rsid w:val="0078643C"/>
    <w:rsid w:val="0078699D"/>
    <w:rsid w:val="007920ED"/>
    <w:rsid w:val="0079261D"/>
    <w:rsid w:val="007A08F3"/>
    <w:rsid w:val="007A12ED"/>
    <w:rsid w:val="007A1F10"/>
    <w:rsid w:val="007A34D8"/>
    <w:rsid w:val="007A370B"/>
    <w:rsid w:val="007A7871"/>
    <w:rsid w:val="007C461E"/>
    <w:rsid w:val="007C7C13"/>
    <w:rsid w:val="007D0610"/>
    <w:rsid w:val="007D1031"/>
    <w:rsid w:val="007D1150"/>
    <w:rsid w:val="007D1210"/>
    <w:rsid w:val="007D3364"/>
    <w:rsid w:val="007D37D7"/>
    <w:rsid w:val="007D5300"/>
    <w:rsid w:val="007D587A"/>
    <w:rsid w:val="007E0671"/>
    <w:rsid w:val="007E08C0"/>
    <w:rsid w:val="007E6FB8"/>
    <w:rsid w:val="007F0445"/>
    <w:rsid w:val="007F174B"/>
    <w:rsid w:val="007F1D90"/>
    <w:rsid w:val="007F244C"/>
    <w:rsid w:val="007F3E44"/>
    <w:rsid w:val="007F50A8"/>
    <w:rsid w:val="007F74CA"/>
    <w:rsid w:val="007F7BAD"/>
    <w:rsid w:val="0080202B"/>
    <w:rsid w:val="008064F8"/>
    <w:rsid w:val="00810680"/>
    <w:rsid w:val="00812F14"/>
    <w:rsid w:val="00813A5D"/>
    <w:rsid w:val="008163E3"/>
    <w:rsid w:val="008215CD"/>
    <w:rsid w:val="00823E46"/>
    <w:rsid w:val="00825115"/>
    <w:rsid w:val="008266A3"/>
    <w:rsid w:val="008268C0"/>
    <w:rsid w:val="00826A44"/>
    <w:rsid w:val="00826E7E"/>
    <w:rsid w:val="00835456"/>
    <w:rsid w:val="00836181"/>
    <w:rsid w:val="0083787D"/>
    <w:rsid w:val="00851B34"/>
    <w:rsid w:val="00854C94"/>
    <w:rsid w:val="00855209"/>
    <w:rsid w:val="00862A6C"/>
    <w:rsid w:val="008636A7"/>
    <w:rsid w:val="00874510"/>
    <w:rsid w:val="00883598"/>
    <w:rsid w:val="00891167"/>
    <w:rsid w:val="008914BA"/>
    <w:rsid w:val="00897BB6"/>
    <w:rsid w:val="008A074A"/>
    <w:rsid w:val="008A19E3"/>
    <w:rsid w:val="008A1B7D"/>
    <w:rsid w:val="008A31A9"/>
    <w:rsid w:val="008A389F"/>
    <w:rsid w:val="008B07AF"/>
    <w:rsid w:val="008B2A26"/>
    <w:rsid w:val="008B3B2D"/>
    <w:rsid w:val="008B589A"/>
    <w:rsid w:val="008B68FD"/>
    <w:rsid w:val="008C17B4"/>
    <w:rsid w:val="008C4E18"/>
    <w:rsid w:val="008D1E9D"/>
    <w:rsid w:val="008D1FDA"/>
    <w:rsid w:val="008D37DF"/>
    <w:rsid w:val="008D3B45"/>
    <w:rsid w:val="008D5BE0"/>
    <w:rsid w:val="008E013D"/>
    <w:rsid w:val="008E15E3"/>
    <w:rsid w:val="008E6921"/>
    <w:rsid w:val="008E6B0F"/>
    <w:rsid w:val="008F2FEB"/>
    <w:rsid w:val="008F309D"/>
    <w:rsid w:val="009101AC"/>
    <w:rsid w:val="00910982"/>
    <w:rsid w:val="009134B1"/>
    <w:rsid w:val="00914E21"/>
    <w:rsid w:val="00915F54"/>
    <w:rsid w:val="0091640E"/>
    <w:rsid w:val="00920E2D"/>
    <w:rsid w:val="00925F55"/>
    <w:rsid w:val="00931454"/>
    <w:rsid w:val="0093201D"/>
    <w:rsid w:val="009331D2"/>
    <w:rsid w:val="00935855"/>
    <w:rsid w:val="00937D9D"/>
    <w:rsid w:val="00944E1B"/>
    <w:rsid w:val="00953D7E"/>
    <w:rsid w:val="0095480D"/>
    <w:rsid w:val="0095535F"/>
    <w:rsid w:val="00962836"/>
    <w:rsid w:val="009629DC"/>
    <w:rsid w:val="009706A8"/>
    <w:rsid w:val="00972E27"/>
    <w:rsid w:val="009755B1"/>
    <w:rsid w:val="0098191F"/>
    <w:rsid w:val="00987870"/>
    <w:rsid w:val="009914B3"/>
    <w:rsid w:val="009A227E"/>
    <w:rsid w:val="009A3537"/>
    <w:rsid w:val="009B0086"/>
    <w:rsid w:val="009B4A3F"/>
    <w:rsid w:val="009B64A4"/>
    <w:rsid w:val="009B744E"/>
    <w:rsid w:val="009B76C9"/>
    <w:rsid w:val="009B7AB4"/>
    <w:rsid w:val="009C0794"/>
    <w:rsid w:val="009C0A5D"/>
    <w:rsid w:val="009C1046"/>
    <w:rsid w:val="009C4F9F"/>
    <w:rsid w:val="009C6E07"/>
    <w:rsid w:val="009C7642"/>
    <w:rsid w:val="009D3086"/>
    <w:rsid w:val="009D5223"/>
    <w:rsid w:val="009E115E"/>
    <w:rsid w:val="009E21A2"/>
    <w:rsid w:val="009E4068"/>
    <w:rsid w:val="009F4B57"/>
    <w:rsid w:val="009F5269"/>
    <w:rsid w:val="00A01D24"/>
    <w:rsid w:val="00A04441"/>
    <w:rsid w:val="00A06CD2"/>
    <w:rsid w:val="00A07A9C"/>
    <w:rsid w:val="00A119C3"/>
    <w:rsid w:val="00A16C9E"/>
    <w:rsid w:val="00A16D62"/>
    <w:rsid w:val="00A2390D"/>
    <w:rsid w:val="00A34BA3"/>
    <w:rsid w:val="00A3761A"/>
    <w:rsid w:val="00A4048B"/>
    <w:rsid w:val="00A4215C"/>
    <w:rsid w:val="00A4289A"/>
    <w:rsid w:val="00A443B1"/>
    <w:rsid w:val="00A477BD"/>
    <w:rsid w:val="00A54B2C"/>
    <w:rsid w:val="00A55607"/>
    <w:rsid w:val="00A5647E"/>
    <w:rsid w:val="00A6306C"/>
    <w:rsid w:val="00A63C6F"/>
    <w:rsid w:val="00A651FF"/>
    <w:rsid w:val="00A737D2"/>
    <w:rsid w:val="00A73C15"/>
    <w:rsid w:val="00A74A18"/>
    <w:rsid w:val="00A75C5E"/>
    <w:rsid w:val="00A82670"/>
    <w:rsid w:val="00A83178"/>
    <w:rsid w:val="00A84674"/>
    <w:rsid w:val="00A84F63"/>
    <w:rsid w:val="00A85361"/>
    <w:rsid w:val="00A85C2A"/>
    <w:rsid w:val="00A85E30"/>
    <w:rsid w:val="00A93921"/>
    <w:rsid w:val="00A96950"/>
    <w:rsid w:val="00AA1B02"/>
    <w:rsid w:val="00AA1FCC"/>
    <w:rsid w:val="00AA2591"/>
    <w:rsid w:val="00AA78E3"/>
    <w:rsid w:val="00AA7B94"/>
    <w:rsid w:val="00AB0679"/>
    <w:rsid w:val="00AB2C9D"/>
    <w:rsid w:val="00AB3A7C"/>
    <w:rsid w:val="00AB3EF9"/>
    <w:rsid w:val="00AB459D"/>
    <w:rsid w:val="00AB61E8"/>
    <w:rsid w:val="00AC0449"/>
    <w:rsid w:val="00AC091C"/>
    <w:rsid w:val="00AC313C"/>
    <w:rsid w:val="00AC448D"/>
    <w:rsid w:val="00AC6CF6"/>
    <w:rsid w:val="00AD1A80"/>
    <w:rsid w:val="00AD1EAC"/>
    <w:rsid w:val="00AD4ED8"/>
    <w:rsid w:val="00AE1FA8"/>
    <w:rsid w:val="00AE2056"/>
    <w:rsid w:val="00AF0408"/>
    <w:rsid w:val="00AF0514"/>
    <w:rsid w:val="00AF2744"/>
    <w:rsid w:val="00AF276E"/>
    <w:rsid w:val="00AF44A3"/>
    <w:rsid w:val="00AF4881"/>
    <w:rsid w:val="00AF6B34"/>
    <w:rsid w:val="00B0554A"/>
    <w:rsid w:val="00B05F1F"/>
    <w:rsid w:val="00B078BF"/>
    <w:rsid w:val="00B07D22"/>
    <w:rsid w:val="00B10543"/>
    <w:rsid w:val="00B10F65"/>
    <w:rsid w:val="00B1113C"/>
    <w:rsid w:val="00B12169"/>
    <w:rsid w:val="00B20C4C"/>
    <w:rsid w:val="00B2611C"/>
    <w:rsid w:val="00B31C7C"/>
    <w:rsid w:val="00B31F6D"/>
    <w:rsid w:val="00B34703"/>
    <w:rsid w:val="00B35410"/>
    <w:rsid w:val="00B36B9D"/>
    <w:rsid w:val="00B40A40"/>
    <w:rsid w:val="00B42384"/>
    <w:rsid w:val="00B4465C"/>
    <w:rsid w:val="00B5203B"/>
    <w:rsid w:val="00B55662"/>
    <w:rsid w:val="00B560EF"/>
    <w:rsid w:val="00B56781"/>
    <w:rsid w:val="00B576C7"/>
    <w:rsid w:val="00B60BA8"/>
    <w:rsid w:val="00B61F0F"/>
    <w:rsid w:val="00B62060"/>
    <w:rsid w:val="00B645FB"/>
    <w:rsid w:val="00B64F6F"/>
    <w:rsid w:val="00B64FCF"/>
    <w:rsid w:val="00B66887"/>
    <w:rsid w:val="00B677E9"/>
    <w:rsid w:val="00B75DB0"/>
    <w:rsid w:val="00B80DE0"/>
    <w:rsid w:val="00B87806"/>
    <w:rsid w:val="00B90458"/>
    <w:rsid w:val="00B917B6"/>
    <w:rsid w:val="00B9404D"/>
    <w:rsid w:val="00B9480C"/>
    <w:rsid w:val="00B95841"/>
    <w:rsid w:val="00BA3F2E"/>
    <w:rsid w:val="00BA6AFF"/>
    <w:rsid w:val="00BB0242"/>
    <w:rsid w:val="00BB0A6E"/>
    <w:rsid w:val="00BB12B2"/>
    <w:rsid w:val="00BB1DA3"/>
    <w:rsid w:val="00BB348A"/>
    <w:rsid w:val="00BB3813"/>
    <w:rsid w:val="00BB38F9"/>
    <w:rsid w:val="00BB63D0"/>
    <w:rsid w:val="00BC0630"/>
    <w:rsid w:val="00BC0A36"/>
    <w:rsid w:val="00BC0BE1"/>
    <w:rsid w:val="00BC3AFA"/>
    <w:rsid w:val="00BC6723"/>
    <w:rsid w:val="00BC7304"/>
    <w:rsid w:val="00BD67BD"/>
    <w:rsid w:val="00BE1E66"/>
    <w:rsid w:val="00BE356E"/>
    <w:rsid w:val="00BE3B88"/>
    <w:rsid w:val="00BE4371"/>
    <w:rsid w:val="00BF1374"/>
    <w:rsid w:val="00BF4F06"/>
    <w:rsid w:val="00BF5826"/>
    <w:rsid w:val="00BF663B"/>
    <w:rsid w:val="00BF6A53"/>
    <w:rsid w:val="00C00145"/>
    <w:rsid w:val="00C0614C"/>
    <w:rsid w:val="00C0710E"/>
    <w:rsid w:val="00C075F3"/>
    <w:rsid w:val="00C1384C"/>
    <w:rsid w:val="00C25197"/>
    <w:rsid w:val="00C25CBE"/>
    <w:rsid w:val="00C30FD0"/>
    <w:rsid w:val="00C403CA"/>
    <w:rsid w:val="00C43CE4"/>
    <w:rsid w:val="00C44B25"/>
    <w:rsid w:val="00C456AE"/>
    <w:rsid w:val="00C45E32"/>
    <w:rsid w:val="00C45EB4"/>
    <w:rsid w:val="00C52C30"/>
    <w:rsid w:val="00C56B9A"/>
    <w:rsid w:val="00C62128"/>
    <w:rsid w:val="00C64331"/>
    <w:rsid w:val="00C643FD"/>
    <w:rsid w:val="00C65342"/>
    <w:rsid w:val="00C6695A"/>
    <w:rsid w:val="00C70A59"/>
    <w:rsid w:val="00C71B0A"/>
    <w:rsid w:val="00C748E6"/>
    <w:rsid w:val="00C7539F"/>
    <w:rsid w:val="00C76857"/>
    <w:rsid w:val="00C875D1"/>
    <w:rsid w:val="00C87F8E"/>
    <w:rsid w:val="00C939D6"/>
    <w:rsid w:val="00C95065"/>
    <w:rsid w:val="00CA2D58"/>
    <w:rsid w:val="00CA37AB"/>
    <w:rsid w:val="00CA7F53"/>
    <w:rsid w:val="00CB2A06"/>
    <w:rsid w:val="00CB641C"/>
    <w:rsid w:val="00CB660E"/>
    <w:rsid w:val="00CB6B51"/>
    <w:rsid w:val="00CB7E62"/>
    <w:rsid w:val="00CC0DB7"/>
    <w:rsid w:val="00CC3DF4"/>
    <w:rsid w:val="00CC4914"/>
    <w:rsid w:val="00CD0857"/>
    <w:rsid w:val="00CD4266"/>
    <w:rsid w:val="00CD5654"/>
    <w:rsid w:val="00CE6A5B"/>
    <w:rsid w:val="00CF0798"/>
    <w:rsid w:val="00D00B94"/>
    <w:rsid w:val="00D01F8B"/>
    <w:rsid w:val="00D05393"/>
    <w:rsid w:val="00D10072"/>
    <w:rsid w:val="00D10683"/>
    <w:rsid w:val="00D10D0A"/>
    <w:rsid w:val="00D118EC"/>
    <w:rsid w:val="00D16722"/>
    <w:rsid w:val="00D178C8"/>
    <w:rsid w:val="00D21D71"/>
    <w:rsid w:val="00D22391"/>
    <w:rsid w:val="00D23D67"/>
    <w:rsid w:val="00D2471C"/>
    <w:rsid w:val="00D2731D"/>
    <w:rsid w:val="00D32CFF"/>
    <w:rsid w:val="00D40086"/>
    <w:rsid w:val="00D4343D"/>
    <w:rsid w:val="00D4797B"/>
    <w:rsid w:val="00D53EF0"/>
    <w:rsid w:val="00D54206"/>
    <w:rsid w:val="00D600A7"/>
    <w:rsid w:val="00D60D0F"/>
    <w:rsid w:val="00D63324"/>
    <w:rsid w:val="00D666A7"/>
    <w:rsid w:val="00D670C9"/>
    <w:rsid w:val="00D7161F"/>
    <w:rsid w:val="00D722B3"/>
    <w:rsid w:val="00D87D6E"/>
    <w:rsid w:val="00D90407"/>
    <w:rsid w:val="00D906F6"/>
    <w:rsid w:val="00D91CBE"/>
    <w:rsid w:val="00D9636F"/>
    <w:rsid w:val="00D97782"/>
    <w:rsid w:val="00D97ED2"/>
    <w:rsid w:val="00DA033D"/>
    <w:rsid w:val="00DA0465"/>
    <w:rsid w:val="00DA1DCB"/>
    <w:rsid w:val="00DA2CBA"/>
    <w:rsid w:val="00DA63AC"/>
    <w:rsid w:val="00DA7743"/>
    <w:rsid w:val="00DB2CAE"/>
    <w:rsid w:val="00DB2EA4"/>
    <w:rsid w:val="00DB599F"/>
    <w:rsid w:val="00DC0532"/>
    <w:rsid w:val="00DC1E0C"/>
    <w:rsid w:val="00DD2C7A"/>
    <w:rsid w:val="00DD34DB"/>
    <w:rsid w:val="00DD5ED7"/>
    <w:rsid w:val="00DE1B71"/>
    <w:rsid w:val="00DE2362"/>
    <w:rsid w:val="00DE3641"/>
    <w:rsid w:val="00DE3FA1"/>
    <w:rsid w:val="00DE477D"/>
    <w:rsid w:val="00DE4D41"/>
    <w:rsid w:val="00DF28A8"/>
    <w:rsid w:val="00DF38B6"/>
    <w:rsid w:val="00DF6B2B"/>
    <w:rsid w:val="00DF7206"/>
    <w:rsid w:val="00DF7DDF"/>
    <w:rsid w:val="00E0632F"/>
    <w:rsid w:val="00E06452"/>
    <w:rsid w:val="00E07677"/>
    <w:rsid w:val="00E126BE"/>
    <w:rsid w:val="00E24979"/>
    <w:rsid w:val="00E264AF"/>
    <w:rsid w:val="00E2706A"/>
    <w:rsid w:val="00E27CC8"/>
    <w:rsid w:val="00E332F8"/>
    <w:rsid w:val="00E342C8"/>
    <w:rsid w:val="00E35233"/>
    <w:rsid w:val="00E41686"/>
    <w:rsid w:val="00E41D21"/>
    <w:rsid w:val="00E421AD"/>
    <w:rsid w:val="00E43793"/>
    <w:rsid w:val="00E47819"/>
    <w:rsid w:val="00E52153"/>
    <w:rsid w:val="00E5452A"/>
    <w:rsid w:val="00E55427"/>
    <w:rsid w:val="00E5696E"/>
    <w:rsid w:val="00E6494D"/>
    <w:rsid w:val="00E66C4D"/>
    <w:rsid w:val="00E74F8E"/>
    <w:rsid w:val="00E80C7F"/>
    <w:rsid w:val="00E91954"/>
    <w:rsid w:val="00E94CE5"/>
    <w:rsid w:val="00E94D46"/>
    <w:rsid w:val="00E97579"/>
    <w:rsid w:val="00E976D7"/>
    <w:rsid w:val="00E97B86"/>
    <w:rsid w:val="00EA02B7"/>
    <w:rsid w:val="00EA2045"/>
    <w:rsid w:val="00EA3D7B"/>
    <w:rsid w:val="00EA7A63"/>
    <w:rsid w:val="00EB17A1"/>
    <w:rsid w:val="00EB3EF5"/>
    <w:rsid w:val="00EB469D"/>
    <w:rsid w:val="00EB77C9"/>
    <w:rsid w:val="00EB7EDA"/>
    <w:rsid w:val="00EC1D65"/>
    <w:rsid w:val="00EC2584"/>
    <w:rsid w:val="00EC2F05"/>
    <w:rsid w:val="00EC4883"/>
    <w:rsid w:val="00ED0ACD"/>
    <w:rsid w:val="00ED0E5A"/>
    <w:rsid w:val="00ED258A"/>
    <w:rsid w:val="00ED57AE"/>
    <w:rsid w:val="00EE2E4C"/>
    <w:rsid w:val="00EE405F"/>
    <w:rsid w:val="00EE5E91"/>
    <w:rsid w:val="00EF15B2"/>
    <w:rsid w:val="00EF2936"/>
    <w:rsid w:val="00F02ADC"/>
    <w:rsid w:val="00F03483"/>
    <w:rsid w:val="00F03606"/>
    <w:rsid w:val="00F0603D"/>
    <w:rsid w:val="00F063B8"/>
    <w:rsid w:val="00F0652F"/>
    <w:rsid w:val="00F07FDA"/>
    <w:rsid w:val="00F10E81"/>
    <w:rsid w:val="00F11FCA"/>
    <w:rsid w:val="00F22BF0"/>
    <w:rsid w:val="00F23144"/>
    <w:rsid w:val="00F239F1"/>
    <w:rsid w:val="00F31835"/>
    <w:rsid w:val="00F326AB"/>
    <w:rsid w:val="00F32F4F"/>
    <w:rsid w:val="00F32FD7"/>
    <w:rsid w:val="00F33259"/>
    <w:rsid w:val="00F33D26"/>
    <w:rsid w:val="00F35584"/>
    <w:rsid w:val="00F52E6A"/>
    <w:rsid w:val="00F61FCF"/>
    <w:rsid w:val="00F62AE2"/>
    <w:rsid w:val="00F645D9"/>
    <w:rsid w:val="00F70292"/>
    <w:rsid w:val="00F71FA0"/>
    <w:rsid w:val="00F77EDF"/>
    <w:rsid w:val="00F81353"/>
    <w:rsid w:val="00F816B5"/>
    <w:rsid w:val="00F828D0"/>
    <w:rsid w:val="00F82AFC"/>
    <w:rsid w:val="00F83A0C"/>
    <w:rsid w:val="00F85B5D"/>
    <w:rsid w:val="00F924FE"/>
    <w:rsid w:val="00F92590"/>
    <w:rsid w:val="00FA1374"/>
    <w:rsid w:val="00FA6D58"/>
    <w:rsid w:val="00FA7683"/>
    <w:rsid w:val="00FA7B82"/>
    <w:rsid w:val="00FB2DEA"/>
    <w:rsid w:val="00FB51D3"/>
    <w:rsid w:val="00FB57E2"/>
    <w:rsid w:val="00FB6016"/>
    <w:rsid w:val="00FB655D"/>
    <w:rsid w:val="00FC0D36"/>
    <w:rsid w:val="00FC0DE3"/>
    <w:rsid w:val="00FC2EDD"/>
    <w:rsid w:val="00FC5E00"/>
    <w:rsid w:val="00FC6530"/>
    <w:rsid w:val="00FC6B21"/>
    <w:rsid w:val="00FC6EA6"/>
    <w:rsid w:val="00FD0EE5"/>
    <w:rsid w:val="00FD125E"/>
    <w:rsid w:val="00FD20AD"/>
    <w:rsid w:val="00FD3DCF"/>
    <w:rsid w:val="00FD5A1B"/>
    <w:rsid w:val="00FE1EA8"/>
    <w:rsid w:val="00FE4874"/>
    <w:rsid w:val="00FE60CA"/>
    <w:rsid w:val="00FF2DA5"/>
    <w:rsid w:val="00FF512A"/>
    <w:rsid w:val="00FF5996"/>
    <w:rsid w:val="00FF794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6276358"/>
  <w15:docId w15:val="{52D1370D-E670-43F7-A0CA-AD0F8AFB8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F4F"/>
    <w:pPr>
      <w:spacing w:after="0" w:line="240" w:lineRule="atLeast"/>
    </w:pPr>
    <w:rPr>
      <w:sz w:val="20"/>
    </w:rPr>
  </w:style>
  <w:style w:type="paragraph" w:styleId="Rubrik1">
    <w:name w:val="heading 1"/>
    <w:basedOn w:val="Normal"/>
    <w:next w:val="Normal"/>
    <w:link w:val="Rubrik1Char"/>
    <w:uiPriority w:val="9"/>
    <w:rsid w:val="00BF5826"/>
    <w:pPr>
      <w:keepNext/>
      <w:keepLines/>
      <w:spacing w:after="160" w:line="840" w:lineRule="atLeast"/>
      <w:outlineLvl w:val="0"/>
    </w:pPr>
    <w:rPr>
      <w:rFonts w:asciiTheme="majorHAnsi" w:eastAsiaTheme="majorEastAsia" w:hAnsiTheme="majorHAnsi" w:cstheme="majorBidi"/>
      <w:bCs/>
      <w:color w:val="00AAC3" w:themeColor="text2"/>
      <w:sz w:val="70"/>
      <w:szCs w:val="28"/>
    </w:rPr>
  </w:style>
  <w:style w:type="paragraph" w:styleId="Rubrik2">
    <w:name w:val="heading 2"/>
    <w:basedOn w:val="Normal"/>
    <w:next w:val="Normal"/>
    <w:link w:val="Rubrik2Char"/>
    <w:uiPriority w:val="9"/>
    <w:unhideWhenUsed/>
    <w:rsid w:val="0009640D"/>
    <w:pPr>
      <w:keepNext/>
      <w:keepLines/>
      <w:spacing w:before="720" w:after="220" w:line="336" w:lineRule="atLeast"/>
      <w:ind w:left="567"/>
      <w:outlineLvl w:val="1"/>
    </w:pPr>
    <w:rPr>
      <w:rFonts w:asciiTheme="majorHAnsi" w:eastAsiaTheme="majorEastAsia" w:hAnsiTheme="majorHAnsi" w:cstheme="majorBidi"/>
      <w:b/>
      <w:bCs/>
      <w:color w:val="00AAC3" w:themeColor="text2"/>
      <w:sz w:val="28"/>
      <w:szCs w:val="26"/>
    </w:rPr>
  </w:style>
  <w:style w:type="paragraph" w:styleId="Rubrik3">
    <w:name w:val="heading 3"/>
    <w:basedOn w:val="Normal"/>
    <w:next w:val="Normal"/>
    <w:link w:val="Rubrik3Char"/>
    <w:uiPriority w:val="9"/>
    <w:unhideWhenUsed/>
    <w:qFormat/>
    <w:rsid w:val="008636A7"/>
    <w:pPr>
      <w:keepNext/>
      <w:keepLines/>
      <w:spacing w:before="200"/>
      <w:outlineLvl w:val="2"/>
    </w:pPr>
    <w:rPr>
      <w:rFonts w:asciiTheme="majorHAnsi" w:eastAsiaTheme="majorEastAsia" w:hAnsiTheme="majorHAnsi" w:cstheme="majorBidi"/>
      <w:b/>
      <w:bCs/>
      <w:color w:val="64B4B4"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BB63D0"/>
    <w:pPr>
      <w:spacing w:line="240" w:lineRule="exact"/>
    </w:pPr>
  </w:style>
  <w:style w:type="character" w:customStyle="1" w:styleId="SidhuvudChar">
    <w:name w:val="Sidhuvud Char"/>
    <w:basedOn w:val="Standardstycketeckensnitt"/>
    <w:link w:val="Sidhuvud"/>
    <w:uiPriority w:val="99"/>
    <w:rsid w:val="00BB63D0"/>
    <w:rPr>
      <w:sz w:val="20"/>
    </w:rPr>
  </w:style>
  <w:style w:type="paragraph" w:styleId="Sidfot">
    <w:name w:val="footer"/>
    <w:basedOn w:val="Normal"/>
    <w:link w:val="SidfotChar"/>
    <w:uiPriority w:val="99"/>
    <w:rsid w:val="00BB63D0"/>
    <w:pPr>
      <w:spacing w:line="240" w:lineRule="exact"/>
    </w:pPr>
  </w:style>
  <w:style w:type="character" w:customStyle="1" w:styleId="SidfotChar">
    <w:name w:val="Sidfot Char"/>
    <w:basedOn w:val="Standardstycketeckensnitt"/>
    <w:link w:val="Sidfot"/>
    <w:uiPriority w:val="99"/>
    <w:rsid w:val="00BB63D0"/>
    <w:rPr>
      <w:sz w:val="20"/>
    </w:rPr>
  </w:style>
  <w:style w:type="table" w:styleId="Tabellrutnt">
    <w:name w:val="Table Grid"/>
    <w:basedOn w:val="Normaltabell"/>
    <w:uiPriority w:val="39"/>
    <w:rsid w:val="00EB77C9"/>
    <w:pPr>
      <w:spacing w:after="0" w:line="240" w:lineRule="auto"/>
    </w:pPr>
    <w:tblPr>
      <w:tblCellMar>
        <w:left w:w="0" w:type="dxa"/>
        <w:right w:w="0" w:type="dxa"/>
      </w:tblCellMar>
    </w:tblPr>
  </w:style>
  <w:style w:type="paragraph" w:styleId="Ballongtext">
    <w:name w:val="Balloon Text"/>
    <w:basedOn w:val="Normal"/>
    <w:link w:val="BallongtextChar"/>
    <w:uiPriority w:val="99"/>
    <w:semiHidden/>
    <w:unhideWhenUsed/>
    <w:rsid w:val="00BB348A"/>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B348A"/>
    <w:rPr>
      <w:rFonts w:ascii="Tahoma" w:hAnsi="Tahoma" w:cs="Tahoma"/>
      <w:sz w:val="16"/>
      <w:szCs w:val="16"/>
    </w:rPr>
  </w:style>
  <w:style w:type="paragraph" w:customStyle="1" w:styleId="Titredudocument">
    <w:name w:val="Titre du document"/>
    <w:basedOn w:val="Normal"/>
    <w:qFormat/>
    <w:rsid w:val="006D3ED2"/>
    <w:pPr>
      <w:spacing w:line="384" w:lineRule="atLeast"/>
    </w:pPr>
    <w:rPr>
      <w:b/>
      <w:caps/>
      <w:sz w:val="32"/>
    </w:rPr>
  </w:style>
  <w:style w:type="paragraph" w:customStyle="1" w:styleId="Lieuetdate">
    <w:name w:val="Lieu et date"/>
    <w:basedOn w:val="Normal"/>
    <w:qFormat/>
    <w:rsid w:val="006D3ED2"/>
    <w:pPr>
      <w:spacing w:line="280" w:lineRule="atLeast"/>
    </w:pPr>
    <w:rPr>
      <w:sz w:val="24"/>
    </w:rPr>
  </w:style>
  <w:style w:type="paragraph" w:customStyle="1" w:styleId="Pagination">
    <w:name w:val="Pagination"/>
    <w:basedOn w:val="Normal"/>
    <w:qFormat/>
    <w:rsid w:val="006D3ED2"/>
    <w:pPr>
      <w:jc w:val="right"/>
    </w:pPr>
  </w:style>
  <w:style w:type="paragraph" w:customStyle="1" w:styleId="Dateautomatique">
    <w:name w:val="Date automatique"/>
    <w:basedOn w:val="Normal"/>
    <w:qFormat/>
    <w:rsid w:val="006D3ED2"/>
  </w:style>
  <w:style w:type="character" w:customStyle="1" w:styleId="Rubrik1Char">
    <w:name w:val="Rubrik 1 Char"/>
    <w:basedOn w:val="Standardstycketeckensnitt"/>
    <w:link w:val="Rubrik1"/>
    <w:uiPriority w:val="9"/>
    <w:rsid w:val="00BF5826"/>
    <w:rPr>
      <w:rFonts w:asciiTheme="majorHAnsi" w:eastAsiaTheme="majorEastAsia" w:hAnsiTheme="majorHAnsi" w:cstheme="majorBidi"/>
      <w:bCs/>
      <w:color w:val="00AAC3" w:themeColor="text2"/>
      <w:sz w:val="70"/>
      <w:szCs w:val="28"/>
    </w:rPr>
  </w:style>
  <w:style w:type="paragraph" w:customStyle="1" w:styleId="Textedesaisie">
    <w:name w:val="Texte de saisie"/>
    <w:basedOn w:val="Normal"/>
    <w:qFormat/>
    <w:rsid w:val="00E55427"/>
    <w:pPr>
      <w:spacing w:after="80" w:line="280" w:lineRule="atLeast"/>
      <w:jc w:val="both"/>
    </w:pPr>
    <w:rPr>
      <w:sz w:val="24"/>
    </w:rPr>
  </w:style>
  <w:style w:type="paragraph" w:customStyle="1" w:styleId="Textepuce">
    <w:name w:val="Texte puce"/>
    <w:basedOn w:val="Textedesaisie"/>
    <w:qFormat/>
    <w:rsid w:val="00BF5826"/>
    <w:pPr>
      <w:numPr>
        <w:numId w:val="1"/>
      </w:numPr>
      <w:spacing w:after="220"/>
      <w:ind w:left="170" w:hanging="170"/>
      <w:jc w:val="left"/>
    </w:pPr>
    <w:rPr>
      <w:b/>
    </w:rPr>
  </w:style>
  <w:style w:type="character" w:customStyle="1" w:styleId="Rubrik2Char">
    <w:name w:val="Rubrik 2 Char"/>
    <w:basedOn w:val="Standardstycketeckensnitt"/>
    <w:link w:val="Rubrik2"/>
    <w:uiPriority w:val="9"/>
    <w:rsid w:val="0009640D"/>
    <w:rPr>
      <w:rFonts w:asciiTheme="majorHAnsi" w:eastAsiaTheme="majorEastAsia" w:hAnsiTheme="majorHAnsi" w:cstheme="majorBidi"/>
      <w:b/>
      <w:bCs/>
      <w:color w:val="00AAC3" w:themeColor="text2"/>
      <w:sz w:val="28"/>
      <w:szCs w:val="26"/>
    </w:rPr>
  </w:style>
  <w:style w:type="character" w:customStyle="1" w:styleId="Textegris">
    <w:name w:val="Texte gris"/>
    <w:basedOn w:val="Standardstycketeckensnitt"/>
    <w:uiPriority w:val="1"/>
    <w:qFormat/>
    <w:rsid w:val="005915E2"/>
    <w:rPr>
      <w:b/>
      <w:color w:val="786E64" w:themeColor="background2"/>
    </w:rPr>
  </w:style>
  <w:style w:type="paragraph" w:customStyle="1" w:styleId="Texteencadr">
    <w:name w:val="Texte encadré"/>
    <w:basedOn w:val="Textedesaisie"/>
    <w:qFormat/>
    <w:rsid w:val="0009640D"/>
    <w:pPr>
      <w:pBdr>
        <w:top w:val="single" w:sz="4" w:space="5" w:color="00AAC3" w:themeColor="text2"/>
        <w:bottom w:val="single" w:sz="4" w:space="10" w:color="00AAC3" w:themeColor="text2"/>
      </w:pBdr>
      <w:spacing w:after="100" w:line="192" w:lineRule="atLeast"/>
      <w:ind w:right="-286"/>
      <w:jc w:val="left"/>
    </w:pPr>
    <w:rPr>
      <w:color w:val="00AAC3" w:themeColor="text2"/>
      <w:sz w:val="16"/>
    </w:rPr>
  </w:style>
  <w:style w:type="paragraph" w:customStyle="1" w:styleId="Titrecontact">
    <w:name w:val="Titre contact"/>
    <w:basedOn w:val="Textedesaisie"/>
    <w:qFormat/>
    <w:rsid w:val="00D2471C"/>
    <w:pPr>
      <w:spacing w:line="336" w:lineRule="atLeast"/>
    </w:pPr>
    <w:rPr>
      <w:caps/>
      <w:color w:val="00AAC3" w:themeColor="text2"/>
      <w:sz w:val="28"/>
    </w:rPr>
  </w:style>
  <w:style w:type="paragraph" w:customStyle="1" w:styleId="PrnomNom">
    <w:name w:val="Prénom Nom"/>
    <w:basedOn w:val="Textedesaisie"/>
    <w:qFormat/>
    <w:rsid w:val="00D2471C"/>
    <w:pPr>
      <w:spacing w:line="336" w:lineRule="atLeast"/>
    </w:pPr>
    <w:rPr>
      <w:b/>
      <w:color w:val="00AAC3" w:themeColor="text2"/>
      <w:sz w:val="28"/>
    </w:rPr>
  </w:style>
  <w:style w:type="character" w:styleId="Hyperlnk">
    <w:name w:val="Hyperlink"/>
    <w:basedOn w:val="Standardstycketeckensnitt"/>
    <w:uiPriority w:val="99"/>
    <w:unhideWhenUsed/>
    <w:rsid w:val="00D2471C"/>
    <w:rPr>
      <w:color w:val="000000" w:themeColor="hyperlink"/>
      <w:u w:val="single"/>
    </w:rPr>
  </w:style>
  <w:style w:type="paragraph" w:customStyle="1" w:styleId="Textecontact">
    <w:name w:val="Texte contact"/>
    <w:basedOn w:val="Textedesaisie"/>
    <w:qFormat/>
    <w:rsid w:val="00D2471C"/>
    <w:pPr>
      <w:spacing w:after="0"/>
    </w:pPr>
  </w:style>
  <w:style w:type="paragraph" w:styleId="Liststycke">
    <w:name w:val="List Paragraph"/>
    <w:basedOn w:val="Normal"/>
    <w:link w:val="ListstyckeChar"/>
    <w:uiPriority w:val="34"/>
    <w:qFormat/>
    <w:rsid w:val="00BB1DA3"/>
    <w:pPr>
      <w:spacing w:line="240" w:lineRule="auto"/>
      <w:ind w:left="720"/>
      <w:contextualSpacing/>
    </w:pPr>
    <w:rPr>
      <w:rFonts w:eastAsiaTheme="minorEastAsia"/>
      <w:sz w:val="24"/>
      <w:szCs w:val="24"/>
      <w:lang w:eastAsia="fr-FR"/>
    </w:rPr>
  </w:style>
  <w:style w:type="character" w:customStyle="1" w:styleId="ListstyckeChar">
    <w:name w:val="Liststycke Char"/>
    <w:link w:val="Liststycke"/>
    <w:uiPriority w:val="34"/>
    <w:locked/>
    <w:rsid w:val="00BB1DA3"/>
    <w:rPr>
      <w:rFonts w:eastAsiaTheme="minorEastAsia"/>
      <w:sz w:val="24"/>
      <w:szCs w:val="24"/>
      <w:lang w:val="en-GB" w:eastAsia="fr-FR"/>
    </w:rPr>
  </w:style>
  <w:style w:type="character" w:customStyle="1" w:styleId="Rubrik3Char">
    <w:name w:val="Rubrik 3 Char"/>
    <w:basedOn w:val="Standardstycketeckensnitt"/>
    <w:link w:val="Rubrik3"/>
    <w:uiPriority w:val="9"/>
    <w:rsid w:val="008636A7"/>
    <w:rPr>
      <w:rFonts w:asciiTheme="majorHAnsi" w:eastAsiaTheme="majorEastAsia" w:hAnsiTheme="majorHAnsi" w:cstheme="majorBidi"/>
      <w:b/>
      <w:bCs/>
      <w:color w:val="64B4B4" w:themeColor="accent1"/>
      <w:sz w:val="20"/>
    </w:rPr>
  </w:style>
  <w:style w:type="paragraph" w:customStyle="1" w:styleId="Default">
    <w:name w:val="Default"/>
    <w:rsid w:val="001C36D9"/>
    <w:pPr>
      <w:autoSpaceDE w:val="0"/>
      <w:autoSpaceDN w:val="0"/>
      <w:adjustRightInd w:val="0"/>
      <w:spacing w:after="0" w:line="240" w:lineRule="auto"/>
    </w:pPr>
    <w:rPr>
      <w:rFonts w:ascii="Arial" w:hAnsi="Arial" w:cs="Arial"/>
      <w:color w:val="000000"/>
      <w:sz w:val="24"/>
      <w:szCs w:val="24"/>
    </w:rPr>
  </w:style>
  <w:style w:type="character" w:styleId="Kommentarsreferens">
    <w:name w:val="annotation reference"/>
    <w:basedOn w:val="Standardstycketeckensnitt"/>
    <w:uiPriority w:val="99"/>
    <w:semiHidden/>
    <w:unhideWhenUsed/>
    <w:rsid w:val="003F70C4"/>
    <w:rPr>
      <w:sz w:val="16"/>
      <w:szCs w:val="16"/>
    </w:rPr>
  </w:style>
  <w:style w:type="paragraph" w:styleId="Kommentarer">
    <w:name w:val="annotation text"/>
    <w:basedOn w:val="Normal"/>
    <w:link w:val="KommentarerChar"/>
    <w:uiPriority w:val="99"/>
    <w:semiHidden/>
    <w:unhideWhenUsed/>
    <w:rsid w:val="003F70C4"/>
    <w:pPr>
      <w:spacing w:line="240" w:lineRule="auto"/>
    </w:pPr>
    <w:rPr>
      <w:szCs w:val="20"/>
    </w:rPr>
  </w:style>
  <w:style w:type="character" w:customStyle="1" w:styleId="KommentarerChar">
    <w:name w:val="Kommentarer Char"/>
    <w:basedOn w:val="Standardstycketeckensnitt"/>
    <w:link w:val="Kommentarer"/>
    <w:uiPriority w:val="99"/>
    <w:semiHidden/>
    <w:rsid w:val="003F70C4"/>
    <w:rPr>
      <w:sz w:val="20"/>
      <w:szCs w:val="20"/>
    </w:rPr>
  </w:style>
  <w:style w:type="paragraph" w:styleId="Kommentarsmne">
    <w:name w:val="annotation subject"/>
    <w:basedOn w:val="Kommentarer"/>
    <w:next w:val="Kommentarer"/>
    <w:link w:val="KommentarsmneChar"/>
    <w:uiPriority w:val="99"/>
    <w:semiHidden/>
    <w:unhideWhenUsed/>
    <w:rsid w:val="003F70C4"/>
    <w:rPr>
      <w:b/>
      <w:bCs/>
    </w:rPr>
  </w:style>
  <w:style w:type="character" w:customStyle="1" w:styleId="KommentarsmneChar">
    <w:name w:val="Kommentarsämne Char"/>
    <w:basedOn w:val="KommentarerChar"/>
    <w:link w:val="Kommentarsmne"/>
    <w:uiPriority w:val="99"/>
    <w:semiHidden/>
    <w:rsid w:val="003F70C4"/>
    <w:rPr>
      <w:b/>
      <w:bCs/>
      <w:sz w:val="20"/>
      <w:szCs w:val="20"/>
    </w:rPr>
  </w:style>
  <w:style w:type="paragraph" w:styleId="Brdtext">
    <w:name w:val="Body Text"/>
    <w:basedOn w:val="Normal"/>
    <w:link w:val="BrdtextChar"/>
    <w:uiPriority w:val="1"/>
    <w:qFormat/>
    <w:rsid w:val="008215CD"/>
    <w:pPr>
      <w:widowControl w:val="0"/>
      <w:autoSpaceDE w:val="0"/>
      <w:autoSpaceDN w:val="0"/>
      <w:spacing w:line="240" w:lineRule="auto"/>
    </w:pPr>
    <w:rPr>
      <w:rFonts w:ascii="Arial" w:eastAsia="Arial" w:hAnsi="Arial" w:cs="Arial"/>
      <w:sz w:val="24"/>
      <w:szCs w:val="24"/>
    </w:rPr>
  </w:style>
  <w:style w:type="character" w:customStyle="1" w:styleId="BrdtextChar">
    <w:name w:val="Brödtext Char"/>
    <w:basedOn w:val="Standardstycketeckensnitt"/>
    <w:link w:val="Brdtext"/>
    <w:uiPriority w:val="1"/>
    <w:rsid w:val="008215CD"/>
    <w:rPr>
      <w:rFonts w:ascii="Arial" w:eastAsia="Arial" w:hAnsi="Arial" w:cs="Arial"/>
      <w:sz w:val="24"/>
      <w:szCs w:val="24"/>
      <w:lang w:val="en-GB"/>
    </w:rPr>
  </w:style>
  <w:style w:type="paragraph" w:styleId="Oformateradtext">
    <w:name w:val="Plain Text"/>
    <w:basedOn w:val="Normal"/>
    <w:link w:val="OformateradtextChar"/>
    <w:uiPriority w:val="99"/>
    <w:unhideWhenUsed/>
    <w:rsid w:val="008215CD"/>
    <w:pPr>
      <w:spacing w:line="240" w:lineRule="auto"/>
    </w:pPr>
    <w:rPr>
      <w:rFonts w:ascii="Calibri" w:eastAsia="Calibri" w:hAnsi="Calibri" w:cs="Times New Roman"/>
      <w:sz w:val="22"/>
      <w:szCs w:val="21"/>
    </w:rPr>
  </w:style>
  <w:style w:type="character" w:customStyle="1" w:styleId="OformateradtextChar">
    <w:name w:val="Oformaterad text Char"/>
    <w:basedOn w:val="Standardstycketeckensnitt"/>
    <w:link w:val="Oformateradtext"/>
    <w:uiPriority w:val="99"/>
    <w:rsid w:val="008215CD"/>
    <w:rPr>
      <w:rFonts w:ascii="Calibri" w:eastAsia="Calibri" w:hAnsi="Calibri" w:cs="Times New Roman"/>
      <w:szCs w:val="21"/>
      <w:lang w:val="en-GB"/>
    </w:rPr>
  </w:style>
  <w:style w:type="table" w:customStyle="1" w:styleId="Grilledetableauclaire1">
    <w:name w:val="Grille de tableau claire1"/>
    <w:basedOn w:val="Normaltabell"/>
    <w:uiPriority w:val="40"/>
    <w:rsid w:val="005F6F4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okumentversikt">
    <w:name w:val="Document Map"/>
    <w:basedOn w:val="Normal"/>
    <w:link w:val="DokumentversiktChar"/>
    <w:uiPriority w:val="99"/>
    <w:semiHidden/>
    <w:unhideWhenUsed/>
    <w:rsid w:val="009B7AB4"/>
    <w:pPr>
      <w:spacing w:line="240" w:lineRule="auto"/>
    </w:pPr>
    <w:rPr>
      <w:rFonts w:ascii="Lucida Grande" w:hAnsi="Lucida Grande" w:cs="Lucida Grande"/>
      <w:sz w:val="24"/>
      <w:szCs w:val="24"/>
    </w:rPr>
  </w:style>
  <w:style w:type="character" w:customStyle="1" w:styleId="DokumentversiktChar">
    <w:name w:val="Dokumentöversikt Char"/>
    <w:basedOn w:val="Standardstycketeckensnitt"/>
    <w:link w:val="Dokumentversikt"/>
    <w:uiPriority w:val="99"/>
    <w:semiHidden/>
    <w:rsid w:val="009B7AB4"/>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36336">
      <w:bodyDiv w:val="1"/>
      <w:marLeft w:val="0"/>
      <w:marRight w:val="0"/>
      <w:marTop w:val="0"/>
      <w:marBottom w:val="0"/>
      <w:divBdr>
        <w:top w:val="none" w:sz="0" w:space="0" w:color="auto"/>
        <w:left w:val="none" w:sz="0" w:space="0" w:color="auto"/>
        <w:bottom w:val="none" w:sz="0" w:space="0" w:color="auto"/>
        <w:right w:val="none" w:sz="0" w:space="0" w:color="auto"/>
      </w:divBdr>
    </w:div>
    <w:div w:id="90511071">
      <w:bodyDiv w:val="1"/>
      <w:marLeft w:val="0"/>
      <w:marRight w:val="0"/>
      <w:marTop w:val="0"/>
      <w:marBottom w:val="0"/>
      <w:divBdr>
        <w:top w:val="none" w:sz="0" w:space="0" w:color="auto"/>
        <w:left w:val="none" w:sz="0" w:space="0" w:color="auto"/>
        <w:bottom w:val="none" w:sz="0" w:space="0" w:color="auto"/>
        <w:right w:val="none" w:sz="0" w:space="0" w:color="auto"/>
      </w:divBdr>
      <w:divsChild>
        <w:div w:id="161434773">
          <w:marLeft w:val="346"/>
          <w:marRight w:val="0"/>
          <w:marTop w:val="0"/>
          <w:marBottom w:val="0"/>
          <w:divBdr>
            <w:top w:val="none" w:sz="0" w:space="0" w:color="auto"/>
            <w:left w:val="none" w:sz="0" w:space="0" w:color="auto"/>
            <w:bottom w:val="none" w:sz="0" w:space="0" w:color="auto"/>
            <w:right w:val="none" w:sz="0" w:space="0" w:color="auto"/>
          </w:divBdr>
        </w:div>
        <w:div w:id="1900045100">
          <w:marLeft w:val="346"/>
          <w:marRight w:val="0"/>
          <w:marTop w:val="0"/>
          <w:marBottom w:val="0"/>
          <w:divBdr>
            <w:top w:val="none" w:sz="0" w:space="0" w:color="auto"/>
            <w:left w:val="none" w:sz="0" w:space="0" w:color="auto"/>
            <w:bottom w:val="none" w:sz="0" w:space="0" w:color="auto"/>
            <w:right w:val="none" w:sz="0" w:space="0" w:color="auto"/>
          </w:divBdr>
        </w:div>
      </w:divsChild>
    </w:div>
    <w:div w:id="180630841">
      <w:bodyDiv w:val="1"/>
      <w:marLeft w:val="0"/>
      <w:marRight w:val="0"/>
      <w:marTop w:val="0"/>
      <w:marBottom w:val="0"/>
      <w:divBdr>
        <w:top w:val="none" w:sz="0" w:space="0" w:color="auto"/>
        <w:left w:val="none" w:sz="0" w:space="0" w:color="auto"/>
        <w:bottom w:val="none" w:sz="0" w:space="0" w:color="auto"/>
        <w:right w:val="none" w:sz="0" w:space="0" w:color="auto"/>
      </w:divBdr>
    </w:div>
    <w:div w:id="196240571">
      <w:bodyDiv w:val="1"/>
      <w:marLeft w:val="0"/>
      <w:marRight w:val="0"/>
      <w:marTop w:val="0"/>
      <w:marBottom w:val="0"/>
      <w:divBdr>
        <w:top w:val="none" w:sz="0" w:space="0" w:color="auto"/>
        <w:left w:val="none" w:sz="0" w:space="0" w:color="auto"/>
        <w:bottom w:val="none" w:sz="0" w:space="0" w:color="auto"/>
        <w:right w:val="none" w:sz="0" w:space="0" w:color="auto"/>
      </w:divBdr>
    </w:div>
    <w:div w:id="311758369">
      <w:bodyDiv w:val="1"/>
      <w:marLeft w:val="0"/>
      <w:marRight w:val="0"/>
      <w:marTop w:val="0"/>
      <w:marBottom w:val="0"/>
      <w:divBdr>
        <w:top w:val="none" w:sz="0" w:space="0" w:color="auto"/>
        <w:left w:val="none" w:sz="0" w:space="0" w:color="auto"/>
        <w:bottom w:val="none" w:sz="0" w:space="0" w:color="auto"/>
        <w:right w:val="none" w:sz="0" w:space="0" w:color="auto"/>
      </w:divBdr>
    </w:div>
    <w:div w:id="336083949">
      <w:bodyDiv w:val="1"/>
      <w:marLeft w:val="0"/>
      <w:marRight w:val="0"/>
      <w:marTop w:val="0"/>
      <w:marBottom w:val="0"/>
      <w:divBdr>
        <w:top w:val="none" w:sz="0" w:space="0" w:color="auto"/>
        <w:left w:val="none" w:sz="0" w:space="0" w:color="auto"/>
        <w:bottom w:val="none" w:sz="0" w:space="0" w:color="auto"/>
        <w:right w:val="none" w:sz="0" w:space="0" w:color="auto"/>
      </w:divBdr>
    </w:div>
    <w:div w:id="365063948">
      <w:bodyDiv w:val="1"/>
      <w:marLeft w:val="0"/>
      <w:marRight w:val="0"/>
      <w:marTop w:val="0"/>
      <w:marBottom w:val="0"/>
      <w:divBdr>
        <w:top w:val="none" w:sz="0" w:space="0" w:color="auto"/>
        <w:left w:val="none" w:sz="0" w:space="0" w:color="auto"/>
        <w:bottom w:val="none" w:sz="0" w:space="0" w:color="auto"/>
        <w:right w:val="none" w:sz="0" w:space="0" w:color="auto"/>
      </w:divBdr>
    </w:div>
    <w:div w:id="401803558">
      <w:bodyDiv w:val="1"/>
      <w:marLeft w:val="0"/>
      <w:marRight w:val="0"/>
      <w:marTop w:val="0"/>
      <w:marBottom w:val="0"/>
      <w:divBdr>
        <w:top w:val="none" w:sz="0" w:space="0" w:color="auto"/>
        <w:left w:val="none" w:sz="0" w:space="0" w:color="auto"/>
        <w:bottom w:val="none" w:sz="0" w:space="0" w:color="auto"/>
        <w:right w:val="none" w:sz="0" w:space="0" w:color="auto"/>
      </w:divBdr>
    </w:div>
    <w:div w:id="541091119">
      <w:bodyDiv w:val="1"/>
      <w:marLeft w:val="0"/>
      <w:marRight w:val="0"/>
      <w:marTop w:val="0"/>
      <w:marBottom w:val="0"/>
      <w:divBdr>
        <w:top w:val="none" w:sz="0" w:space="0" w:color="auto"/>
        <w:left w:val="none" w:sz="0" w:space="0" w:color="auto"/>
        <w:bottom w:val="none" w:sz="0" w:space="0" w:color="auto"/>
        <w:right w:val="none" w:sz="0" w:space="0" w:color="auto"/>
      </w:divBdr>
    </w:div>
    <w:div w:id="660891422">
      <w:bodyDiv w:val="1"/>
      <w:marLeft w:val="0"/>
      <w:marRight w:val="0"/>
      <w:marTop w:val="0"/>
      <w:marBottom w:val="0"/>
      <w:divBdr>
        <w:top w:val="none" w:sz="0" w:space="0" w:color="auto"/>
        <w:left w:val="none" w:sz="0" w:space="0" w:color="auto"/>
        <w:bottom w:val="none" w:sz="0" w:space="0" w:color="auto"/>
        <w:right w:val="none" w:sz="0" w:space="0" w:color="auto"/>
      </w:divBdr>
      <w:divsChild>
        <w:div w:id="897016137">
          <w:marLeft w:val="346"/>
          <w:marRight w:val="0"/>
          <w:marTop w:val="0"/>
          <w:marBottom w:val="0"/>
          <w:divBdr>
            <w:top w:val="none" w:sz="0" w:space="0" w:color="auto"/>
            <w:left w:val="none" w:sz="0" w:space="0" w:color="auto"/>
            <w:bottom w:val="none" w:sz="0" w:space="0" w:color="auto"/>
            <w:right w:val="none" w:sz="0" w:space="0" w:color="auto"/>
          </w:divBdr>
        </w:div>
        <w:div w:id="1394625339">
          <w:marLeft w:val="346"/>
          <w:marRight w:val="0"/>
          <w:marTop w:val="0"/>
          <w:marBottom w:val="0"/>
          <w:divBdr>
            <w:top w:val="none" w:sz="0" w:space="0" w:color="auto"/>
            <w:left w:val="none" w:sz="0" w:space="0" w:color="auto"/>
            <w:bottom w:val="none" w:sz="0" w:space="0" w:color="auto"/>
            <w:right w:val="none" w:sz="0" w:space="0" w:color="auto"/>
          </w:divBdr>
        </w:div>
      </w:divsChild>
    </w:div>
    <w:div w:id="780346954">
      <w:bodyDiv w:val="1"/>
      <w:marLeft w:val="0"/>
      <w:marRight w:val="0"/>
      <w:marTop w:val="0"/>
      <w:marBottom w:val="0"/>
      <w:divBdr>
        <w:top w:val="none" w:sz="0" w:space="0" w:color="auto"/>
        <w:left w:val="none" w:sz="0" w:space="0" w:color="auto"/>
        <w:bottom w:val="none" w:sz="0" w:space="0" w:color="auto"/>
        <w:right w:val="none" w:sz="0" w:space="0" w:color="auto"/>
      </w:divBdr>
    </w:div>
    <w:div w:id="797645877">
      <w:bodyDiv w:val="1"/>
      <w:marLeft w:val="0"/>
      <w:marRight w:val="0"/>
      <w:marTop w:val="0"/>
      <w:marBottom w:val="0"/>
      <w:divBdr>
        <w:top w:val="none" w:sz="0" w:space="0" w:color="auto"/>
        <w:left w:val="none" w:sz="0" w:space="0" w:color="auto"/>
        <w:bottom w:val="none" w:sz="0" w:space="0" w:color="auto"/>
        <w:right w:val="none" w:sz="0" w:space="0" w:color="auto"/>
      </w:divBdr>
    </w:div>
    <w:div w:id="812648018">
      <w:bodyDiv w:val="1"/>
      <w:marLeft w:val="0"/>
      <w:marRight w:val="0"/>
      <w:marTop w:val="0"/>
      <w:marBottom w:val="0"/>
      <w:divBdr>
        <w:top w:val="none" w:sz="0" w:space="0" w:color="auto"/>
        <w:left w:val="none" w:sz="0" w:space="0" w:color="auto"/>
        <w:bottom w:val="none" w:sz="0" w:space="0" w:color="auto"/>
        <w:right w:val="none" w:sz="0" w:space="0" w:color="auto"/>
      </w:divBdr>
    </w:div>
    <w:div w:id="870843882">
      <w:bodyDiv w:val="1"/>
      <w:marLeft w:val="0"/>
      <w:marRight w:val="0"/>
      <w:marTop w:val="0"/>
      <w:marBottom w:val="0"/>
      <w:divBdr>
        <w:top w:val="none" w:sz="0" w:space="0" w:color="auto"/>
        <w:left w:val="none" w:sz="0" w:space="0" w:color="auto"/>
        <w:bottom w:val="none" w:sz="0" w:space="0" w:color="auto"/>
        <w:right w:val="none" w:sz="0" w:space="0" w:color="auto"/>
      </w:divBdr>
    </w:div>
    <w:div w:id="982344327">
      <w:bodyDiv w:val="1"/>
      <w:marLeft w:val="0"/>
      <w:marRight w:val="0"/>
      <w:marTop w:val="0"/>
      <w:marBottom w:val="0"/>
      <w:divBdr>
        <w:top w:val="none" w:sz="0" w:space="0" w:color="auto"/>
        <w:left w:val="none" w:sz="0" w:space="0" w:color="auto"/>
        <w:bottom w:val="none" w:sz="0" w:space="0" w:color="auto"/>
        <w:right w:val="none" w:sz="0" w:space="0" w:color="auto"/>
      </w:divBdr>
    </w:div>
    <w:div w:id="991787676">
      <w:bodyDiv w:val="1"/>
      <w:marLeft w:val="0"/>
      <w:marRight w:val="0"/>
      <w:marTop w:val="0"/>
      <w:marBottom w:val="0"/>
      <w:divBdr>
        <w:top w:val="none" w:sz="0" w:space="0" w:color="auto"/>
        <w:left w:val="none" w:sz="0" w:space="0" w:color="auto"/>
        <w:bottom w:val="none" w:sz="0" w:space="0" w:color="auto"/>
        <w:right w:val="none" w:sz="0" w:space="0" w:color="auto"/>
      </w:divBdr>
      <w:divsChild>
        <w:div w:id="91240254">
          <w:marLeft w:val="0"/>
          <w:marRight w:val="0"/>
          <w:marTop w:val="0"/>
          <w:marBottom w:val="0"/>
          <w:divBdr>
            <w:top w:val="none" w:sz="0" w:space="0" w:color="auto"/>
            <w:left w:val="none" w:sz="0" w:space="0" w:color="auto"/>
            <w:bottom w:val="none" w:sz="0" w:space="0" w:color="auto"/>
            <w:right w:val="none" w:sz="0" w:space="0" w:color="auto"/>
          </w:divBdr>
        </w:div>
        <w:div w:id="137697231">
          <w:marLeft w:val="0"/>
          <w:marRight w:val="0"/>
          <w:marTop w:val="0"/>
          <w:marBottom w:val="0"/>
          <w:divBdr>
            <w:top w:val="none" w:sz="0" w:space="0" w:color="auto"/>
            <w:left w:val="none" w:sz="0" w:space="0" w:color="auto"/>
            <w:bottom w:val="none" w:sz="0" w:space="0" w:color="auto"/>
            <w:right w:val="none" w:sz="0" w:space="0" w:color="auto"/>
          </w:divBdr>
        </w:div>
        <w:div w:id="143006798">
          <w:marLeft w:val="0"/>
          <w:marRight w:val="0"/>
          <w:marTop w:val="0"/>
          <w:marBottom w:val="0"/>
          <w:divBdr>
            <w:top w:val="none" w:sz="0" w:space="0" w:color="auto"/>
            <w:left w:val="none" w:sz="0" w:space="0" w:color="auto"/>
            <w:bottom w:val="none" w:sz="0" w:space="0" w:color="auto"/>
            <w:right w:val="none" w:sz="0" w:space="0" w:color="auto"/>
          </w:divBdr>
        </w:div>
        <w:div w:id="149179939">
          <w:marLeft w:val="0"/>
          <w:marRight w:val="0"/>
          <w:marTop w:val="0"/>
          <w:marBottom w:val="0"/>
          <w:divBdr>
            <w:top w:val="none" w:sz="0" w:space="0" w:color="auto"/>
            <w:left w:val="none" w:sz="0" w:space="0" w:color="auto"/>
            <w:bottom w:val="none" w:sz="0" w:space="0" w:color="auto"/>
            <w:right w:val="none" w:sz="0" w:space="0" w:color="auto"/>
          </w:divBdr>
        </w:div>
        <w:div w:id="368189760">
          <w:marLeft w:val="0"/>
          <w:marRight w:val="0"/>
          <w:marTop w:val="0"/>
          <w:marBottom w:val="0"/>
          <w:divBdr>
            <w:top w:val="none" w:sz="0" w:space="0" w:color="auto"/>
            <w:left w:val="none" w:sz="0" w:space="0" w:color="auto"/>
            <w:bottom w:val="none" w:sz="0" w:space="0" w:color="auto"/>
            <w:right w:val="none" w:sz="0" w:space="0" w:color="auto"/>
          </w:divBdr>
        </w:div>
        <w:div w:id="762844570">
          <w:marLeft w:val="0"/>
          <w:marRight w:val="0"/>
          <w:marTop w:val="0"/>
          <w:marBottom w:val="0"/>
          <w:divBdr>
            <w:top w:val="none" w:sz="0" w:space="0" w:color="auto"/>
            <w:left w:val="none" w:sz="0" w:space="0" w:color="auto"/>
            <w:bottom w:val="none" w:sz="0" w:space="0" w:color="auto"/>
            <w:right w:val="none" w:sz="0" w:space="0" w:color="auto"/>
          </w:divBdr>
        </w:div>
        <w:div w:id="871920961">
          <w:marLeft w:val="0"/>
          <w:marRight w:val="0"/>
          <w:marTop w:val="0"/>
          <w:marBottom w:val="0"/>
          <w:divBdr>
            <w:top w:val="none" w:sz="0" w:space="0" w:color="auto"/>
            <w:left w:val="none" w:sz="0" w:space="0" w:color="auto"/>
            <w:bottom w:val="none" w:sz="0" w:space="0" w:color="auto"/>
            <w:right w:val="none" w:sz="0" w:space="0" w:color="auto"/>
          </w:divBdr>
        </w:div>
        <w:div w:id="942565894">
          <w:marLeft w:val="0"/>
          <w:marRight w:val="0"/>
          <w:marTop w:val="0"/>
          <w:marBottom w:val="0"/>
          <w:divBdr>
            <w:top w:val="none" w:sz="0" w:space="0" w:color="auto"/>
            <w:left w:val="none" w:sz="0" w:space="0" w:color="auto"/>
            <w:bottom w:val="none" w:sz="0" w:space="0" w:color="auto"/>
            <w:right w:val="none" w:sz="0" w:space="0" w:color="auto"/>
          </w:divBdr>
        </w:div>
        <w:div w:id="1018045269">
          <w:marLeft w:val="0"/>
          <w:marRight w:val="0"/>
          <w:marTop w:val="0"/>
          <w:marBottom w:val="0"/>
          <w:divBdr>
            <w:top w:val="none" w:sz="0" w:space="0" w:color="auto"/>
            <w:left w:val="none" w:sz="0" w:space="0" w:color="auto"/>
            <w:bottom w:val="none" w:sz="0" w:space="0" w:color="auto"/>
            <w:right w:val="none" w:sz="0" w:space="0" w:color="auto"/>
          </w:divBdr>
        </w:div>
        <w:div w:id="1150945933">
          <w:marLeft w:val="0"/>
          <w:marRight w:val="0"/>
          <w:marTop w:val="0"/>
          <w:marBottom w:val="0"/>
          <w:divBdr>
            <w:top w:val="none" w:sz="0" w:space="0" w:color="auto"/>
            <w:left w:val="none" w:sz="0" w:space="0" w:color="auto"/>
            <w:bottom w:val="none" w:sz="0" w:space="0" w:color="auto"/>
            <w:right w:val="none" w:sz="0" w:space="0" w:color="auto"/>
          </w:divBdr>
        </w:div>
        <w:div w:id="1229264354">
          <w:marLeft w:val="0"/>
          <w:marRight w:val="0"/>
          <w:marTop w:val="0"/>
          <w:marBottom w:val="0"/>
          <w:divBdr>
            <w:top w:val="none" w:sz="0" w:space="0" w:color="auto"/>
            <w:left w:val="none" w:sz="0" w:space="0" w:color="auto"/>
            <w:bottom w:val="none" w:sz="0" w:space="0" w:color="auto"/>
            <w:right w:val="none" w:sz="0" w:space="0" w:color="auto"/>
          </w:divBdr>
        </w:div>
        <w:div w:id="1285767459">
          <w:marLeft w:val="0"/>
          <w:marRight w:val="0"/>
          <w:marTop w:val="0"/>
          <w:marBottom w:val="0"/>
          <w:divBdr>
            <w:top w:val="none" w:sz="0" w:space="0" w:color="auto"/>
            <w:left w:val="none" w:sz="0" w:space="0" w:color="auto"/>
            <w:bottom w:val="none" w:sz="0" w:space="0" w:color="auto"/>
            <w:right w:val="none" w:sz="0" w:space="0" w:color="auto"/>
          </w:divBdr>
        </w:div>
        <w:div w:id="1333754483">
          <w:marLeft w:val="0"/>
          <w:marRight w:val="0"/>
          <w:marTop w:val="0"/>
          <w:marBottom w:val="0"/>
          <w:divBdr>
            <w:top w:val="none" w:sz="0" w:space="0" w:color="auto"/>
            <w:left w:val="none" w:sz="0" w:space="0" w:color="auto"/>
            <w:bottom w:val="none" w:sz="0" w:space="0" w:color="auto"/>
            <w:right w:val="none" w:sz="0" w:space="0" w:color="auto"/>
          </w:divBdr>
        </w:div>
        <w:div w:id="1373118805">
          <w:marLeft w:val="0"/>
          <w:marRight w:val="0"/>
          <w:marTop w:val="0"/>
          <w:marBottom w:val="0"/>
          <w:divBdr>
            <w:top w:val="none" w:sz="0" w:space="0" w:color="auto"/>
            <w:left w:val="none" w:sz="0" w:space="0" w:color="auto"/>
            <w:bottom w:val="none" w:sz="0" w:space="0" w:color="auto"/>
            <w:right w:val="none" w:sz="0" w:space="0" w:color="auto"/>
          </w:divBdr>
        </w:div>
        <w:div w:id="1429888375">
          <w:marLeft w:val="0"/>
          <w:marRight w:val="0"/>
          <w:marTop w:val="0"/>
          <w:marBottom w:val="0"/>
          <w:divBdr>
            <w:top w:val="none" w:sz="0" w:space="0" w:color="auto"/>
            <w:left w:val="none" w:sz="0" w:space="0" w:color="auto"/>
            <w:bottom w:val="none" w:sz="0" w:space="0" w:color="auto"/>
            <w:right w:val="none" w:sz="0" w:space="0" w:color="auto"/>
          </w:divBdr>
        </w:div>
        <w:div w:id="1632250174">
          <w:marLeft w:val="0"/>
          <w:marRight w:val="0"/>
          <w:marTop w:val="0"/>
          <w:marBottom w:val="0"/>
          <w:divBdr>
            <w:top w:val="none" w:sz="0" w:space="0" w:color="auto"/>
            <w:left w:val="none" w:sz="0" w:space="0" w:color="auto"/>
            <w:bottom w:val="none" w:sz="0" w:space="0" w:color="auto"/>
            <w:right w:val="none" w:sz="0" w:space="0" w:color="auto"/>
          </w:divBdr>
        </w:div>
        <w:div w:id="1876889562">
          <w:marLeft w:val="0"/>
          <w:marRight w:val="0"/>
          <w:marTop w:val="0"/>
          <w:marBottom w:val="0"/>
          <w:divBdr>
            <w:top w:val="none" w:sz="0" w:space="0" w:color="auto"/>
            <w:left w:val="none" w:sz="0" w:space="0" w:color="auto"/>
            <w:bottom w:val="none" w:sz="0" w:space="0" w:color="auto"/>
            <w:right w:val="none" w:sz="0" w:space="0" w:color="auto"/>
          </w:divBdr>
        </w:div>
        <w:div w:id="1914469785">
          <w:marLeft w:val="0"/>
          <w:marRight w:val="0"/>
          <w:marTop w:val="0"/>
          <w:marBottom w:val="0"/>
          <w:divBdr>
            <w:top w:val="none" w:sz="0" w:space="0" w:color="auto"/>
            <w:left w:val="none" w:sz="0" w:space="0" w:color="auto"/>
            <w:bottom w:val="none" w:sz="0" w:space="0" w:color="auto"/>
            <w:right w:val="none" w:sz="0" w:space="0" w:color="auto"/>
          </w:divBdr>
        </w:div>
        <w:div w:id="2071221416">
          <w:marLeft w:val="0"/>
          <w:marRight w:val="0"/>
          <w:marTop w:val="0"/>
          <w:marBottom w:val="0"/>
          <w:divBdr>
            <w:top w:val="none" w:sz="0" w:space="0" w:color="auto"/>
            <w:left w:val="none" w:sz="0" w:space="0" w:color="auto"/>
            <w:bottom w:val="none" w:sz="0" w:space="0" w:color="auto"/>
            <w:right w:val="none" w:sz="0" w:space="0" w:color="auto"/>
          </w:divBdr>
        </w:div>
      </w:divsChild>
    </w:div>
    <w:div w:id="1335185155">
      <w:bodyDiv w:val="1"/>
      <w:marLeft w:val="0"/>
      <w:marRight w:val="0"/>
      <w:marTop w:val="0"/>
      <w:marBottom w:val="0"/>
      <w:divBdr>
        <w:top w:val="none" w:sz="0" w:space="0" w:color="auto"/>
        <w:left w:val="none" w:sz="0" w:space="0" w:color="auto"/>
        <w:bottom w:val="none" w:sz="0" w:space="0" w:color="auto"/>
        <w:right w:val="none" w:sz="0" w:space="0" w:color="auto"/>
      </w:divBdr>
    </w:div>
    <w:div w:id="1367297032">
      <w:bodyDiv w:val="1"/>
      <w:marLeft w:val="0"/>
      <w:marRight w:val="0"/>
      <w:marTop w:val="0"/>
      <w:marBottom w:val="0"/>
      <w:divBdr>
        <w:top w:val="none" w:sz="0" w:space="0" w:color="auto"/>
        <w:left w:val="none" w:sz="0" w:space="0" w:color="auto"/>
        <w:bottom w:val="none" w:sz="0" w:space="0" w:color="auto"/>
        <w:right w:val="none" w:sz="0" w:space="0" w:color="auto"/>
      </w:divBdr>
    </w:div>
    <w:div w:id="1418744803">
      <w:bodyDiv w:val="1"/>
      <w:marLeft w:val="0"/>
      <w:marRight w:val="0"/>
      <w:marTop w:val="0"/>
      <w:marBottom w:val="0"/>
      <w:divBdr>
        <w:top w:val="none" w:sz="0" w:space="0" w:color="auto"/>
        <w:left w:val="none" w:sz="0" w:space="0" w:color="auto"/>
        <w:bottom w:val="none" w:sz="0" w:space="0" w:color="auto"/>
        <w:right w:val="none" w:sz="0" w:space="0" w:color="auto"/>
      </w:divBdr>
    </w:div>
    <w:div w:id="1437166158">
      <w:bodyDiv w:val="1"/>
      <w:marLeft w:val="0"/>
      <w:marRight w:val="0"/>
      <w:marTop w:val="0"/>
      <w:marBottom w:val="0"/>
      <w:divBdr>
        <w:top w:val="none" w:sz="0" w:space="0" w:color="auto"/>
        <w:left w:val="none" w:sz="0" w:space="0" w:color="auto"/>
        <w:bottom w:val="none" w:sz="0" w:space="0" w:color="auto"/>
        <w:right w:val="none" w:sz="0" w:space="0" w:color="auto"/>
      </w:divBdr>
      <w:divsChild>
        <w:div w:id="589200440">
          <w:marLeft w:val="346"/>
          <w:marRight w:val="0"/>
          <w:marTop w:val="0"/>
          <w:marBottom w:val="0"/>
          <w:divBdr>
            <w:top w:val="none" w:sz="0" w:space="0" w:color="auto"/>
            <w:left w:val="none" w:sz="0" w:space="0" w:color="auto"/>
            <w:bottom w:val="none" w:sz="0" w:space="0" w:color="auto"/>
            <w:right w:val="none" w:sz="0" w:space="0" w:color="auto"/>
          </w:divBdr>
        </w:div>
        <w:div w:id="823618382">
          <w:marLeft w:val="346"/>
          <w:marRight w:val="0"/>
          <w:marTop w:val="0"/>
          <w:marBottom w:val="0"/>
          <w:divBdr>
            <w:top w:val="none" w:sz="0" w:space="0" w:color="auto"/>
            <w:left w:val="none" w:sz="0" w:space="0" w:color="auto"/>
            <w:bottom w:val="none" w:sz="0" w:space="0" w:color="auto"/>
            <w:right w:val="none" w:sz="0" w:space="0" w:color="auto"/>
          </w:divBdr>
        </w:div>
        <w:div w:id="988509920">
          <w:marLeft w:val="346"/>
          <w:marRight w:val="0"/>
          <w:marTop w:val="0"/>
          <w:marBottom w:val="0"/>
          <w:divBdr>
            <w:top w:val="none" w:sz="0" w:space="0" w:color="auto"/>
            <w:left w:val="none" w:sz="0" w:space="0" w:color="auto"/>
            <w:bottom w:val="none" w:sz="0" w:space="0" w:color="auto"/>
            <w:right w:val="none" w:sz="0" w:space="0" w:color="auto"/>
          </w:divBdr>
        </w:div>
        <w:div w:id="1819952869">
          <w:marLeft w:val="346"/>
          <w:marRight w:val="0"/>
          <w:marTop w:val="0"/>
          <w:marBottom w:val="0"/>
          <w:divBdr>
            <w:top w:val="none" w:sz="0" w:space="0" w:color="auto"/>
            <w:left w:val="none" w:sz="0" w:space="0" w:color="auto"/>
            <w:bottom w:val="none" w:sz="0" w:space="0" w:color="auto"/>
            <w:right w:val="none" w:sz="0" w:space="0" w:color="auto"/>
          </w:divBdr>
        </w:div>
        <w:div w:id="1962834371">
          <w:marLeft w:val="346"/>
          <w:marRight w:val="0"/>
          <w:marTop w:val="0"/>
          <w:marBottom w:val="0"/>
          <w:divBdr>
            <w:top w:val="none" w:sz="0" w:space="0" w:color="auto"/>
            <w:left w:val="none" w:sz="0" w:space="0" w:color="auto"/>
            <w:bottom w:val="none" w:sz="0" w:space="0" w:color="auto"/>
            <w:right w:val="none" w:sz="0" w:space="0" w:color="auto"/>
          </w:divBdr>
        </w:div>
      </w:divsChild>
    </w:div>
    <w:div w:id="1459909377">
      <w:bodyDiv w:val="1"/>
      <w:marLeft w:val="0"/>
      <w:marRight w:val="0"/>
      <w:marTop w:val="0"/>
      <w:marBottom w:val="0"/>
      <w:divBdr>
        <w:top w:val="none" w:sz="0" w:space="0" w:color="auto"/>
        <w:left w:val="none" w:sz="0" w:space="0" w:color="auto"/>
        <w:bottom w:val="none" w:sz="0" w:space="0" w:color="auto"/>
        <w:right w:val="none" w:sz="0" w:space="0" w:color="auto"/>
      </w:divBdr>
    </w:div>
    <w:div w:id="1567494897">
      <w:bodyDiv w:val="1"/>
      <w:marLeft w:val="0"/>
      <w:marRight w:val="0"/>
      <w:marTop w:val="0"/>
      <w:marBottom w:val="0"/>
      <w:divBdr>
        <w:top w:val="none" w:sz="0" w:space="0" w:color="auto"/>
        <w:left w:val="none" w:sz="0" w:space="0" w:color="auto"/>
        <w:bottom w:val="none" w:sz="0" w:space="0" w:color="auto"/>
        <w:right w:val="none" w:sz="0" w:space="0" w:color="auto"/>
      </w:divBdr>
    </w:div>
    <w:div w:id="1600874220">
      <w:bodyDiv w:val="1"/>
      <w:marLeft w:val="0"/>
      <w:marRight w:val="0"/>
      <w:marTop w:val="0"/>
      <w:marBottom w:val="0"/>
      <w:divBdr>
        <w:top w:val="none" w:sz="0" w:space="0" w:color="auto"/>
        <w:left w:val="none" w:sz="0" w:space="0" w:color="auto"/>
        <w:bottom w:val="none" w:sz="0" w:space="0" w:color="auto"/>
        <w:right w:val="none" w:sz="0" w:space="0" w:color="auto"/>
      </w:divBdr>
    </w:div>
    <w:div w:id="1701468211">
      <w:bodyDiv w:val="1"/>
      <w:marLeft w:val="0"/>
      <w:marRight w:val="0"/>
      <w:marTop w:val="0"/>
      <w:marBottom w:val="0"/>
      <w:divBdr>
        <w:top w:val="none" w:sz="0" w:space="0" w:color="auto"/>
        <w:left w:val="none" w:sz="0" w:space="0" w:color="auto"/>
        <w:bottom w:val="none" w:sz="0" w:space="0" w:color="auto"/>
        <w:right w:val="none" w:sz="0" w:space="0" w:color="auto"/>
      </w:divBdr>
    </w:div>
    <w:div w:id="1715497325">
      <w:bodyDiv w:val="1"/>
      <w:marLeft w:val="0"/>
      <w:marRight w:val="0"/>
      <w:marTop w:val="0"/>
      <w:marBottom w:val="0"/>
      <w:divBdr>
        <w:top w:val="none" w:sz="0" w:space="0" w:color="auto"/>
        <w:left w:val="none" w:sz="0" w:space="0" w:color="auto"/>
        <w:bottom w:val="none" w:sz="0" w:space="0" w:color="auto"/>
        <w:right w:val="none" w:sz="0" w:space="0" w:color="auto"/>
      </w:divBdr>
    </w:div>
    <w:div w:id="1742874470">
      <w:bodyDiv w:val="1"/>
      <w:marLeft w:val="0"/>
      <w:marRight w:val="0"/>
      <w:marTop w:val="0"/>
      <w:marBottom w:val="0"/>
      <w:divBdr>
        <w:top w:val="none" w:sz="0" w:space="0" w:color="auto"/>
        <w:left w:val="none" w:sz="0" w:space="0" w:color="auto"/>
        <w:bottom w:val="none" w:sz="0" w:space="0" w:color="auto"/>
        <w:right w:val="none" w:sz="0" w:space="0" w:color="auto"/>
      </w:divBdr>
      <w:divsChild>
        <w:div w:id="1156610418">
          <w:marLeft w:val="346"/>
          <w:marRight w:val="0"/>
          <w:marTop w:val="0"/>
          <w:marBottom w:val="0"/>
          <w:divBdr>
            <w:top w:val="none" w:sz="0" w:space="0" w:color="auto"/>
            <w:left w:val="none" w:sz="0" w:space="0" w:color="auto"/>
            <w:bottom w:val="none" w:sz="0" w:space="0" w:color="auto"/>
            <w:right w:val="none" w:sz="0" w:space="0" w:color="auto"/>
          </w:divBdr>
        </w:div>
        <w:div w:id="1912346118">
          <w:marLeft w:val="346"/>
          <w:marRight w:val="0"/>
          <w:marTop w:val="0"/>
          <w:marBottom w:val="0"/>
          <w:divBdr>
            <w:top w:val="none" w:sz="0" w:space="0" w:color="auto"/>
            <w:left w:val="none" w:sz="0" w:space="0" w:color="auto"/>
            <w:bottom w:val="none" w:sz="0" w:space="0" w:color="auto"/>
            <w:right w:val="none" w:sz="0" w:space="0" w:color="auto"/>
          </w:divBdr>
        </w:div>
      </w:divsChild>
    </w:div>
    <w:div w:id="1788159173">
      <w:bodyDiv w:val="1"/>
      <w:marLeft w:val="0"/>
      <w:marRight w:val="0"/>
      <w:marTop w:val="0"/>
      <w:marBottom w:val="0"/>
      <w:divBdr>
        <w:top w:val="none" w:sz="0" w:space="0" w:color="auto"/>
        <w:left w:val="none" w:sz="0" w:space="0" w:color="auto"/>
        <w:bottom w:val="none" w:sz="0" w:space="0" w:color="auto"/>
        <w:right w:val="none" w:sz="0" w:space="0" w:color="auto"/>
      </w:divBdr>
    </w:div>
    <w:div w:id="1795713136">
      <w:bodyDiv w:val="1"/>
      <w:marLeft w:val="0"/>
      <w:marRight w:val="0"/>
      <w:marTop w:val="0"/>
      <w:marBottom w:val="0"/>
      <w:divBdr>
        <w:top w:val="none" w:sz="0" w:space="0" w:color="auto"/>
        <w:left w:val="none" w:sz="0" w:space="0" w:color="auto"/>
        <w:bottom w:val="none" w:sz="0" w:space="0" w:color="auto"/>
        <w:right w:val="none" w:sz="0" w:space="0" w:color="auto"/>
      </w:divBdr>
    </w:div>
    <w:div w:id="1978102833">
      <w:bodyDiv w:val="1"/>
      <w:marLeft w:val="0"/>
      <w:marRight w:val="0"/>
      <w:marTop w:val="0"/>
      <w:marBottom w:val="0"/>
      <w:divBdr>
        <w:top w:val="none" w:sz="0" w:space="0" w:color="auto"/>
        <w:left w:val="none" w:sz="0" w:space="0" w:color="auto"/>
        <w:bottom w:val="none" w:sz="0" w:space="0" w:color="auto"/>
        <w:right w:val="none" w:sz="0" w:space="0" w:color="auto"/>
      </w:divBdr>
    </w:div>
    <w:div w:id="1983079021">
      <w:bodyDiv w:val="1"/>
      <w:marLeft w:val="0"/>
      <w:marRight w:val="0"/>
      <w:marTop w:val="0"/>
      <w:marBottom w:val="0"/>
      <w:divBdr>
        <w:top w:val="none" w:sz="0" w:space="0" w:color="auto"/>
        <w:left w:val="none" w:sz="0" w:space="0" w:color="auto"/>
        <w:bottom w:val="none" w:sz="0" w:space="0" w:color="auto"/>
        <w:right w:val="none" w:sz="0" w:space="0" w:color="auto"/>
      </w:divBdr>
    </w:div>
    <w:div w:id="2007319801">
      <w:bodyDiv w:val="1"/>
      <w:marLeft w:val="0"/>
      <w:marRight w:val="0"/>
      <w:marTop w:val="0"/>
      <w:marBottom w:val="0"/>
      <w:divBdr>
        <w:top w:val="none" w:sz="0" w:space="0" w:color="auto"/>
        <w:left w:val="none" w:sz="0" w:space="0" w:color="auto"/>
        <w:bottom w:val="none" w:sz="0" w:space="0" w:color="auto"/>
        <w:right w:val="none" w:sz="0" w:space="0" w:color="auto"/>
      </w:divBdr>
    </w:div>
    <w:div w:id="2014452684">
      <w:bodyDiv w:val="1"/>
      <w:marLeft w:val="0"/>
      <w:marRight w:val="0"/>
      <w:marTop w:val="0"/>
      <w:marBottom w:val="0"/>
      <w:divBdr>
        <w:top w:val="none" w:sz="0" w:space="0" w:color="auto"/>
        <w:left w:val="none" w:sz="0" w:space="0" w:color="auto"/>
        <w:bottom w:val="none" w:sz="0" w:space="0" w:color="auto"/>
        <w:right w:val="none" w:sz="0" w:space="0" w:color="auto"/>
      </w:divBdr>
    </w:div>
    <w:div w:id="2017884321">
      <w:bodyDiv w:val="1"/>
      <w:marLeft w:val="0"/>
      <w:marRight w:val="0"/>
      <w:marTop w:val="0"/>
      <w:marBottom w:val="0"/>
      <w:divBdr>
        <w:top w:val="none" w:sz="0" w:space="0" w:color="auto"/>
        <w:left w:val="none" w:sz="0" w:space="0" w:color="auto"/>
        <w:bottom w:val="none" w:sz="0" w:space="0" w:color="auto"/>
        <w:right w:val="none" w:sz="0" w:space="0" w:color="auto"/>
      </w:divBdr>
      <w:divsChild>
        <w:div w:id="1532838576">
          <w:marLeft w:val="346"/>
          <w:marRight w:val="0"/>
          <w:marTop w:val="0"/>
          <w:marBottom w:val="0"/>
          <w:divBdr>
            <w:top w:val="none" w:sz="0" w:space="0" w:color="auto"/>
            <w:left w:val="none" w:sz="0" w:space="0" w:color="auto"/>
            <w:bottom w:val="none" w:sz="0" w:space="0" w:color="auto"/>
            <w:right w:val="none" w:sz="0" w:space="0" w:color="auto"/>
          </w:divBdr>
        </w:div>
      </w:divsChild>
    </w:div>
    <w:div w:id="2132046031">
      <w:bodyDiv w:val="1"/>
      <w:marLeft w:val="0"/>
      <w:marRight w:val="0"/>
      <w:marTop w:val="0"/>
      <w:marBottom w:val="0"/>
      <w:divBdr>
        <w:top w:val="none" w:sz="0" w:space="0" w:color="auto"/>
        <w:left w:val="none" w:sz="0" w:space="0" w:color="auto"/>
        <w:bottom w:val="none" w:sz="0" w:space="0" w:color="auto"/>
        <w:right w:val="none" w:sz="0" w:space="0" w:color="auto"/>
      </w:divBdr>
      <w:divsChild>
        <w:div w:id="606697110">
          <w:marLeft w:val="0"/>
          <w:marRight w:val="0"/>
          <w:marTop w:val="0"/>
          <w:marBottom w:val="0"/>
          <w:divBdr>
            <w:top w:val="none" w:sz="0" w:space="0" w:color="auto"/>
            <w:left w:val="none" w:sz="0" w:space="0" w:color="auto"/>
            <w:bottom w:val="none" w:sz="0" w:space="0" w:color="auto"/>
            <w:right w:val="none" w:sz="0" w:space="0" w:color="auto"/>
          </w:divBdr>
          <w:divsChild>
            <w:div w:id="2086342992">
              <w:marLeft w:val="0"/>
              <w:marRight w:val="0"/>
              <w:marTop w:val="0"/>
              <w:marBottom w:val="0"/>
              <w:divBdr>
                <w:top w:val="none" w:sz="0" w:space="0" w:color="auto"/>
                <w:left w:val="none" w:sz="0" w:space="0" w:color="auto"/>
                <w:bottom w:val="none" w:sz="0" w:space="0" w:color="auto"/>
                <w:right w:val="none" w:sz="0" w:space="0" w:color="auto"/>
              </w:divBdr>
              <w:divsChild>
                <w:div w:id="277874171">
                  <w:marLeft w:val="0"/>
                  <w:marRight w:val="0"/>
                  <w:marTop w:val="0"/>
                  <w:marBottom w:val="0"/>
                  <w:divBdr>
                    <w:top w:val="none" w:sz="0" w:space="0" w:color="auto"/>
                    <w:left w:val="none" w:sz="0" w:space="0" w:color="auto"/>
                    <w:bottom w:val="none" w:sz="0" w:space="0" w:color="auto"/>
                    <w:right w:val="none" w:sz="0" w:space="0" w:color="auto"/>
                  </w:divBdr>
                  <w:divsChild>
                    <w:div w:id="1741058403">
                      <w:marLeft w:val="0"/>
                      <w:marRight w:val="0"/>
                      <w:marTop w:val="0"/>
                      <w:marBottom w:val="0"/>
                      <w:divBdr>
                        <w:top w:val="none" w:sz="0" w:space="0" w:color="auto"/>
                        <w:left w:val="none" w:sz="0" w:space="0" w:color="auto"/>
                        <w:bottom w:val="none" w:sz="0" w:space="0" w:color="auto"/>
                        <w:right w:val="none" w:sz="0" w:space="0" w:color="auto"/>
                      </w:divBdr>
                      <w:divsChild>
                        <w:div w:id="1470441397">
                          <w:marLeft w:val="0"/>
                          <w:marRight w:val="0"/>
                          <w:marTop w:val="0"/>
                          <w:marBottom w:val="0"/>
                          <w:divBdr>
                            <w:top w:val="none" w:sz="0" w:space="0" w:color="auto"/>
                            <w:left w:val="none" w:sz="0" w:space="0" w:color="auto"/>
                            <w:bottom w:val="none" w:sz="0" w:space="0" w:color="auto"/>
                            <w:right w:val="none" w:sz="0" w:space="0" w:color="auto"/>
                          </w:divBdr>
                          <w:divsChild>
                            <w:div w:id="89593479">
                              <w:marLeft w:val="0"/>
                              <w:marRight w:val="0"/>
                              <w:marTop w:val="0"/>
                              <w:marBottom w:val="0"/>
                              <w:divBdr>
                                <w:top w:val="none" w:sz="0" w:space="0" w:color="auto"/>
                                <w:left w:val="none" w:sz="0" w:space="0" w:color="auto"/>
                                <w:bottom w:val="none" w:sz="0" w:space="0" w:color="auto"/>
                                <w:right w:val="none" w:sz="0" w:space="0" w:color="auto"/>
                              </w:divBdr>
                              <w:divsChild>
                                <w:div w:id="1755203546">
                                  <w:marLeft w:val="0"/>
                                  <w:marRight w:val="0"/>
                                  <w:marTop w:val="0"/>
                                  <w:marBottom w:val="0"/>
                                  <w:divBdr>
                                    <w:top w:val="none" w:sz="0" w:space="0" w:color="auto"/>
                                    <w:left w:val="none" w:sz="0" w:space="0" w:color="auto"/>
                                    <w:bottom w:val="none" w:sz="0" w:space="0" w:color="auto"/>
                                    <w:right w:val="none" w:sz="0" w:space="0" w:color="auto"/>
                                  </w:divBdr>
                                  <w:divsChild>
                                    <w:div w:id="59270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onti\AppData\Local\Temp\Temp1_compresse_keolis.dotx.zip\compresse_keolis.dotx" TargetMode="External"/></Relationships>
</file>

<file path=word/theme/theme1.xml><?xml version="1.0" encoding="utf-8"?>
<a:theme xmlns:a="http://schemas.openxmlformats.org/drawingml/2006/main" name="Thème Office">
  <a:themeElements>
    <a:clrScheme name="KEOLIS PPT">
      <a:dk1>
        <a:sysClr val="windowText" lastClr="000000"/>
      </a:dk1>
      <a:lt1>
        <a:srgbClr val="FFFFFF"/>
      </a:lt1>
      <a:dk2>
        <a:srgbClr val="00AAC3"/>
      </a:dk2>
      <a:lt2>
        <a:srgbClr val="786E64"/>
      </a:lt2>
      <a:accent1>
        <a:srgbClr val="64B4B4"/>
      </a:accent1>
      <a:accent2>
        <a:srgbClr val="E13C55"/>
      </a:accent2>
      <a:accent3>
        <a:srgbClr val="FFD205"/>
      </a:accent3>
      <a:accent4>
        <a:srgbClr val="FF6919"/>
      </a:accent4>
      <a:accent5>
        <a:srgbClr val="BEBE14"/>
      </a:accent5>
      <a:accent6>
        <a:srgbClr val="AFA09B"/>
      </a:accent6>
      <a:hlink>
        <a:srgbClr val="000000"/>
      </a:hlink>
      <a:folHlink>
        <a:srgbClr val="000000"/>
      </a:folHlink>
    </a:clrScheme>
    <a:fontScheme name="KEOLI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5047D-0D40-426E-9883-CCCCA0093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compresse_keolis</Template>
  <TotalTime>2</TotalTime>
  <Pages>8</Pages>
  <Words>3043</Words>
  <Characters>16133</Characters>
  <Application>Microsoft Office Word</Application>
  <DocSecurity>4</DocSecurity>
  <Lines>134</Lines>
  <Paragraphs>38</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KEOLIS</vt:lpstr>
      <vt:lpstr>KEOLIS</vt:lpstr>
    </vt:vector>
  </TitlesOfParts>
  <Manager>KEOLIS</Manager>
  <Company>KEOLIS</Company>
  <LinksUpToDate>false</LinksUpToDate>
  <CharactersWithSpaces>19138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KEOLIS</dc:title>
  <dc:subject>KEOLIS</dc:subject>
  <dc:creator>user</dc:creator>
  <cp:keywords/>
  <dc:description/>
  <cp:lastModifiedBy>Nicolai Valerio</cp:lastModifiedBy>
  <cp:revision>2</cp:revision>
  <cp:lastPrinted>2019-04-12T14:14:00Z</cp:lastPrinted>
  <dcterms:created xsi:type="dcterms:W3CDTF">2019-04-18T08:04:00Z</dcterms:created>
  <dcterms:modified xsi:type="dcterms:W3CDTF">2019-04-18T08:04:00Z</dcterms:modified>
</cp:coreProperties>
</file>